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F8F6" w14:textId="13F825CD" w:rsidR="0045173B" w:rsidRPr="000129C3" w:rsidRDefault="0045173B" w:rsidP="004E2931">
      <w:pPr>
        <w:pStyle w:val="Heading1"/>
        <w:rPr>
          <w:sz w:val="22"/>
          <w:szCs w:val="22"/>
        </w:rPr>
      </w:pPr>
    </w:p>
    <w:p w14:paraId="2A0BA469" w14:textId="77777777" w:rsidR="0045173B" w:rsidRPr="000129C3" w:rsidRDefault="0045173B" w:rsidP="004E2931">
      <w:pPr>
        <w:jc w:val="center"/>
        <w:rPr>
          <w:sz w:val="22"/>
          <w:szCs w:val="22"/>
        </w:rPr>
      </w:pPr>
      <w:r w:rsidRPr="000129C3">
        <w:rPr>
          <w:sz w:val="22"/>
          <w:szCs w:val="22"/>
        </w:rPr>
        <w:t>Central Indiana Regional Transportation Authority (CIRTA)</w:t>
      </w:r>
    </w:p>
    <w:p w14:paraId="286DC81A" w14:textId="6EDFD302" w:rsidR="00985F39" w:rsidRPr="000129C3" w:rsidRDefault="00985F39" w:rsidP="004E2931">
      <w:pPr>
        <w:jc w:val="center"/>
        <w:rPr>
          <w:sz w:val="22"/>
          <w:szCs w:val="22"/>
        </w:rPr>
      </w:pPr>
      <w:r w:rsidRPr="0054305F">
        <w:rPr>
          <w:b/>
          <w:bCs/>
          <w:sz w:val="22"/>
          <w:szCs w:val="22"/>
        </w:rPr>
        <w:t>CIRTA Board Meeting Minutes</w:t>
      </w:r>
    </w:p>
    <w:p w14:paraId="1BAF1A7A" w14:textId="2782182B" w:rsidR="0045173B" w:rsidRPr="000129C3" w:rsidRDefault="00F055C4" w:rsidP="0045173B">
      <w:pPr>
        <w:jc w:val="center"/>
        <w:rPr>
          <w:sz w:val="22"/>
          <w:szCs w:val="22"/>
        </w:rPr>
      </w:pPr>
      <w:r>
        <w:rPr>
          <w:sz w:val="22"/>
          <w:szCs w:val="22"/>
        </w:rPr>
        <w:t>Dec</w:t>
      </w:r>
      <w:r w:rsidR="0094029F" w:rsidRPr="000129C3">
        <w:rPr>
          <w:sz w:val="22"/>
          <w:szCs w:val="22"/>
        </w:rPr>
        <w:t xml:space="preserve"> </w:t>
      </w:r>
      <w:r>
        <w:rPr>
          <w:sz w:val="22"/>
          <w:szCs w:val="22"/>
        </w:rPr>
        <w:t>09</w:t>
      </w:r>
      <w:r w:rsidR="00D4223F" w:rsidRPr="000129C3">
        <w:rPr>
          <w:sz w:val="22"/>
          <w:szCs w:val="22"/>
        </w:rPr>
        <w:t>,</w:t>
      </w:r>
      <w:r w:rsidR="00EE1C57" w:rsidRPr="000129C3">
        <w:rPr>
          <w:sz w:val="22"/>
          <w:szCs w:val="22"/>
        </w:rPr>
        <w:t xml:space="preserve"> </w:t>
      </w:r>
      <w:r w:rsidR="0003651F" w:rsidRPr="000129C3">
        <w:rPr>
          <w:sz w:val="22"/>
          <w:szCs w:val="22"/>
        </w:rPr>
        <w:t>202</w:t>
      </w:r>
      <w:r w:rsidR="008A52E0" w:rsidRPr="000129C3">
        <w:rPr>
          <w:sz w:val="22"/>
          <w:szCs w:val="22"/>
        </w:rPr>
        <w:t>5</w:t>
      </w:r>
      <w:r w:rsidR="0003651F" w:rsidRPr="000129C3">
        <w:rPr>
          <w:sz w:val="22"/>
          <w:szCs w:val="22"/>
        </w:rPr>
        <w:t>,</w:t>
      </w:r>
      <w:r w:rsidR="00FE087F" w:rsidRPr="000129C3">
        <w:rPr>
          <w:sz w:val="22"/>
          <w:szCs w:val="22"/>
        </w:rPr>
        <w:t xml:space="preserve"> 9</w:t>
      </w:r>
      <w:r w:rsidR="00FE541B">
        <w:rPr>
          <w:sz w:val="22"/>
          <w:szCs w:val="22"/>
        </w:rPr>
        <w:t xml:space="preserve"> </w:t>
      </w:r>
      <w:r w:rsidR="00FE087F" w:rsidRPr="000129C3">
        <w:rPr>
          <w:sz w:val="22"/>
          <w:szCs w:val="22"/>
        </w:rPr>
        <w:t>am</w:t>
      </w:r>
    </w:p>
    <w:p w14:paraId="7E151E7E" w14:textId="0CED55AA" w:rsidR="00DD040B" w:rsidRPr="000129C3" w:rsidRDefault="00F055C4" w:rsidP="00A6625D">
      <w:pPr>
        <w:jc w:val="center"/>
        <w:rPr>
          <w:sz w:val="22"/>
          <w:szCs w:val="22"/>
        </w:rPr>
      </w:pPr>
      <w:r>
        <w:rPr>
          <w:sz w:val="22"/>
          <w:szCs w:val="22"/>
        </w:rPr>
        <w:t>American Structurepoint</w:t>
      </w:r>
    </w:p>
    <w:p w14:paraId="144A4A4E" w14:textId="49120013" w:rsidR="007351DA" w:rsidRDefault="00F055C4" w:rsidP="00A6625D">
      <w:pPr>
        <w:jc w:val="center"/>
        <w:rPr>
          <w:sz w:val="22"/>
          <w:szCs w:val="22"/>
        </w:rPr>
      </w:pPr>
      <w:r>
        <w:rPr>
          <w:sz w:val="22"/>
          <w:szCs w:val="22"/>
        </w:rPr>
        <w:t>9025 River Rd, Ste 200</w:t>
      </w:r>
    </w:p>
    <w:p w14:paraId="6C87DEE9" w14:textId="1D366F04" w:rsidR="00F055C4" w:rsidRPr="000129C3" w:rsidRDefault="00F055C4" w:rsidP="00A6625D">
      <w:pPr>
        <w:jc w:val="center"/>
        <w:rPr>
          <w:sz w:val="22"/>
          <w:szCs w:val="22"/>
        </w:rPr>
      </w:pPr>
      <w:r>
        <w:rPr>
          <w:sz w:val="22"/>
          <w:szCs w:val="22"/>
        </w:rPr>
        <w:t>Indianapolis, IN 46240</w:t>
      </w:r>
    </w:p>
    <w:p w14:paraId="13F6E6DD" w14:textId="77777777" w:rsidR="00131AAA" w:rsidRPr="000129C3" w:rsidRDefault="00131AAA" w:rsidP="00A6625D">
      <w:pPr>
        <w:jc w:val="center"/>
        <w:rPr>
          <w:sz w:val="22"/>
          <w:szCs w:val="22"/>
        </w:rPr>
      </w:pPr>
    </w:p>
    <w:p w14:paraId="786FF05D" w14:textId="77777777" w:rsidR="0045173B" w:rsidRPr="000129C3" w:rsidRDefault="0045173B" w:rsidP="0045173B">
      <w:pPr>
        <w:jc w:val="center"/>
        <w:rPr>
          <w:sz w:val="22"/>
          <w:szCs w:val="22"/>
        </w:rPr>
      </w:pPr>
      <w:r w:rsidRPr="000129C3">
        <w:rPr>
          <w:sz w:val="22"/>
          <w:szCs w:val="22"/>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3"/>
        <w:gridCol w:w="1887"/>
        <w:gridCol w:w="2970"/>
        <w:gridCol w:w="2250"/>
      </w:tblGrid>
      <w:tr w:rsidR="00C25B96" w:rsidRPr="000129C3" w14:paraId="74280D27" w14:textId="77777777" w:rsidTr="00113833">
        <w:trPr>
          <w:trHeight w:val="252"/>
        </w:trPr>
        <w:tc>
          <w:tcPr>
            <w:tcW w:w="4050" w:type="dxa"/>
            <w:gridSpan w:val="2"/>
            <w:tcBorders>
              <w:right w:val="single" w:sz="4" w:space="0" w:color="auto"/>
            </w:tcBorders>
          </w:tcPr>
          <w:p w14:paraId="7A211520" w14:textId="47A99BF7" w:rsidR="00C25B96" w:rsidRPr="000129C3" w:rsidRDefault="00C25B96" w:rsidP="00131AAA">
            <w:pPr>
              <w:jc w:val="center"/>
              <w:rPr>
                <w:b/>
                <w:bCs/>
                <w:sz w:val="22"/>
                <w:szCs w:val="22"/>
                <w:u w:val="single"/>
              </w:rPr>
            </w:pPr>
            <w:r w:rsidRPr="000129C3">
              <w:rPr>
                <w:b/>
                <w:bCs/>
                <w:sz w:val="22"/>
                <w:szCs w:val="22"/>
                <w:u w:val="single"/>
              </w:rPr>
              <w:t>Board Members Present:</w:t>
            </w:r>
          </w:p>
        </w:tc>
        <w:tc>
          <w:tcPr>
            <w:tcW w:w="2970" w:type="dxa"/>
            <w:tcBorders>
              <w:left w:val="single" w:sz="4" w:space="0" w:color="auto"/>
              <w:right w:val="single" w:sz="4" w:space="0" w:color="auto"/>
            </w:tcBorders>
          </w:tcPr>
          <w:p w14:paraId="6234584C" w14:textId="5EE77226" w:rsidR="00C25B96" w:rsidRPr="000129C3" w:rsidRDefault="00C25B96" w:rsidP="00131AAA">
            <w:pPr>
              <w:jc w:val="center"/>
              <w:rPr>
                <w:b/>
                <w:bCs/>
                <w:sz w:val="22"/>
                <w:szCs w:val="22"/>
                <w:u w:val="single"/>
              </w:rPr>
            </w:pPr>
            <w:r w:rsidRPr="000129C3">
              <w:rPr>
                <w:b/>
                <w:bCs/>
                <w:sz w:val="22"/>
                <w:szCs w:val="22"/>
                <w:u w:val="single"/>
              </w:rPr>
              <w:t>Board Members Not Present</w:t>
            </w:r>
          </w:p>
        </w:tc>
        <w:tc>
          <w:tcPr>
            <w:tcW w:w="2250" w:type="dxa"/>
            <w:tcBorders>
              <w:left w:val="single" w:sz="4" w:space="0" w:color="auto"/>
            </w:tcBorders>
          </w:tcPr>
          <w:p w14:paraId="0D2C3633" w14:textId="2D03916B" w:rsidR="00C25B96" w:rsidRPr="000129C3" w:rsidRDefault="00C25B96" w:rsidP="00131AAA">
            <w:pPr>
              <w:jc w:val="center"/>
              <w:rPr>
                <w:b/>
                <w:bCs/>
                <w:sz w:val="22"/>
                <w:szCs w:val="22"/>
                <w:u w:val="single"/>
              </w:rPr>
            </w:pPr>
            <w:r w:rsidRPr="000129C3">
              <w:rPr>
                <w:b/>
                <w:bCs/>
                <w:sz w:val="22"/>
                <w:szCs w:val="22"/>
                <w:u w:val="single"/>
              </w:rPr>
              <w:t>CIRTA Staff Present</w:t>
            </w:r>
          </w:p>
        </w:tc>
      </w:tr>
      <w:tr w:rsidR="00FA3E9E" w:rsidRPr="000129C3" w14:paraId="375CE5CB" w14:textId="77777777" w:rsidTr="00113833">
        <w:trPr>
          <w:trHeight w:val="252"/>
        </w:trPr>
        <w:tc>
          <w:tcPr>
            <w:tcW w:w="2163" w:type="dxa"/>
          </w:tcPr>
          <w:p w14:paraId="6F219814" w14:textId="1C0DF190" w:rsidR="00FA3E9E" w:rsidRPr="00173EDA" w:rsidRDefault="00FA3E9E" w:rsidP="001501AD">
            <w:pPr>
              <w:contextualSpacing/>
              <w:jc w:val="both"/>
              <w:rPr>
                <w:sz w:val="22"/>
                <w:szCs w:val="22"/>
              </w:rPr>
            </w:pPr>
            <w:r w:rsidRPr="00173EDA">
              <w:rPr>
                <w:sz w:val="22"/>
                <w:szCs w:val="22"/>
              </w:rPr>
              <w:t>Brooke Thomas</w:t>
            </w:r>
          </w:p>
        </w:tc>
        <w:tc>
          <w:tcPr>
            <w:tcW w:w="1887" w:type="dxa"/>
            <w:tcBorders>
              <w:right w:val="single" w:sz="4" w:space="0" w:color="auto"/>
            </w:tcBorders>
          </w:tcPr>
          <w:p w14:paraId="76D431FF" w14:textId="7611D10E" w:rsidR="00FA3E9E" w:rsidRPr="00173EDA" w:rsidRDefault="00FA3E9E" w:rsidP="000F57ED">
            <w:pPr>
              <w:contextualSpacing/>
              <w:jc w:val="both"/>
              <w:rPr>
                <w:sz w:val="22"/>
                <w:szCs w:val="22"/>
              </w:rPr>
            </w:pPr>
            <w:r w:rsidRPr="00173EDA">
              <w:rPr>
                <w:sz w:val="22"/>
                <w:szCs w:val="22"/>
              </w:rPr>
              <w:t>Jerry Bridges</w:t>
            </w:r>
          </w:p>
        </w:tc>
        <w:tc>
          <w:tcPr>
            <w:tcW w:w="2970" w:type="dxa"/>
            <w:tcBorders>
              <w:left w:val="single" w:sz="4" w:space="0" w:color="auto"/>
              <w:right w:val="single" w:sz="4" w:space="0" w:color="auto"/>
            </w:tcBorders>
          </w:tcPr>
          <w:p w14:paraId="458EF1DB" w14:textId="71AF193A" w:rsidR="00FA3E9E" w:rsidRPr="000129C3" w:rsidRDefault="00FA3E9E" w:rsidP="00173EDA">
            <w:pPr>
              <w:contextualSpacing/>
              <w:jc w:val="both"/>
              <w:rPr>
                <w:sz w:val="22"/>
                <w:szCs w:val="22"/>
              </w:rPr>
            </w:pPr>
          </w:p>
        </w:tc>
        <w:tc>
          <w:tcPr>
            <w:tcW w:w="2250" w:type="dxa"/>
            <w:tcBorders>
              <w:left w:val="single" w:sz="4" w:space="0" w:color="auto"/>
            </w:tcBorders>
          </w:tcPr>
          <w:p w14:paraId="17E13FE5" w14:textId="13574531" w:rsidR="00FA3E9E" w:rsidRPr="000129C3" w:rsidRDefault="00FA3E9E" w:rsidP="000F57ED">
            <w:pPr>
              <w:rPr>
                <w:sz w:val="22"/>
                <w:szCs w:val="22"/>
              </w:rPr>
            </w:pPr>
            <w:r w:rsidRPr="000129C3">
              <w:rPr>
                <w:sz w:val="22"/>
                <w:szCs w:val="22"/>
              </w:rPr>
              <w:t>Amanda Meyer</w:t>
            </w:r>
          </w:p>
        </w:tc>
      </w:tr>
      <w:tr w:rsidR="00FA3E9E" w:rsidRPr="000129C3" w14:paraId="2B2FF1F3" w14:textId="77777777" w:rsidTr="00113833">
        <w:trPr>
          <w:trHeight w:val="235"/>
        </w:trPr>
        <w:tc>
          <w:tcPr>
            <w:tcW w:w="2163" w:type="dxa"/>
          </w:tcPr>
          <w:p w14:paraId="01E88008" w14:textId="39C32927" w:rsidR="00FA3E9E" w:rsidRPr="00173EDA" w:rsidRDefault="00FA3E9E" w:rsidP="000F57ED">
            <w:pPr>
              <w:contextualSpacing/>
              <w:jc w:val="both"/>
              <w:rPr>
                <w:sz w:val="22"/>
                <w:szCs w:val="22"/>
              </w:rPr>
            </w:pPr>
            <w:r w:rsidRPr="00173EDA">
              <w:rPr>
                <w:sz w:val="22"/>
                <w:szCs w:val="22"/>
              </w:rPr>
              <w:t xml:space="preserve">Larry Hesson </w:t>
            </w:r>
          </w:p>
        </w:tc>
        <w:tc>
          <w:tcPr>
            <w:tcW w:w="1887" w:type="dxa"/>
            <w:tcBorders>
              <w:right w:val="single" w:sz="4" w:space="0" w:color="auto"/>
            </w:tcBorders>
          </w:tcPr>
          <w:p w14:paraId="4F8459DE" w14:textId="0A78D2C5" w:rsidR="00FA3E9E" w:rsidRPr="00173EDA" w:rsidRDefault="00FA3E9E" w:rsidP="000F57ED">
            <w:pPr>
              <w:contextualSpacing/>
              <w:jc w:val="both"/>
              <w:rPr>
                <w:sz w:val="22"/>
                <w:szCs w:val="22"/>
              </w:rPr>
            </w:pPr>
            <w:r w:rsidRPr="00173EDA">
              <w:rPr>
                <w:sz w:val="22"/>
                <w:szCs w:val="22"/>
              </w:rPr>
              <w:t>Andrew Klineman</w:t>
            </w:r>
          </w:p>
        </w:tc>
        <w:tc>
          <w:tcPr>
            <w:tcW w:w="2970" w:type="dxa"/>
            <w:tcBorders>
              <w:left w:val="single" w:sz="4" w:space="0" w:color="auto"/>
              <w:right w:val="single" w:sz="4" w:space="0" w:color="auto"/>
            </w:tcBorders>
          </w:tcPr>
          <w:p w14:paraId="237884E0" w14:textId="6567A753" w:rsidR="00FA3E9E" w:rsidRPr="000129C3" w:rsidRDefault="00FA3E9E" w:rsidP="00555144">
            <w:pPr>
              <w:rPr>
                <w:sz w:val="22"/>
                <w:szCs w:val="22"/>
              </w:rPr>
            </w:pPr>
          </w:p>
        </w:tc>
        <w:tc>
          <w:tcPr>
            <w:tcW w:w="2250" w:type="dxa"/>
            <w:tcBorders>
              <w:left w:val="single" w:sz="4" w:space="0" w:color="auto"/>
            </w:tcBorders>
          </w:tcPr>
          <w:p w14:paraId="618E4D14" w14:textId="58DE6911" w:rsidR="00FA3E9E" w:rsidRPr="000129C3" w:rsidRDefault="00FA3E9E" w:rsidP="000F57ED">
            <w:pPr>
              <w:rPr>
                <w:sz w:val="22"/>
                <w:szCs w:val="22"/>
              </w:rPr>
            </w:pPr>
            <w:r w:rsidRPr="000129C3">
              <w:rPr>
                <w:sz w:val="22"/>
                <w:szCs w:val="22"/>
              </w:rPr>
              <w:t>Chris Petrulis</w:t>
            </w:r>
          </w:p>
        </w:tc>
      </w:tr>
      <w:tr w:rsidR="00FA3E9E" w:rsidRPr="000129C3" w14:paraId="520C5F3D" w14:textId="77777777" w:rsidTr="00113833">
        <w:trPr>
          <w:trHeight w:val="93"/>
        </w:trPr>
        <w:tc>
          <w:tcPr>
            <w:tcW w:w="2163" w:type="dxa"/>
          </w:tcPr>
          <w:p w14:paraId="40D089B9" w14:textId="0923A938" w:rsidR="00FA3E9E" w:rsidRPr="00173EDA" w:rsidRDefault="00FA3E9E" w:rsidP="000F57ED">
            <w:pPr>
              <w:contextualSpacing/>
              <w:jc w:val="both"/>
              <w:rPr>
                <w:sz w:val="22"/>
                <w:szCs w:val="22"/>
              </w:rPr>
            </w:pPr>
            <w:r w:rsidRPr="00173EDA">
              <w:rPr>
                <w:sz w:val="22"/>
                <w:szCs w:val="22"/>
              </w:rPr>
              <w:t>Destiny Wells</w:t>
            </w:r>
          </w:p>
          <w:p w14:paraId="6961D084" w14:textId="11643AA4" w:rsidR="00FA3E9E" w:rsidRPr="00173EDA" w:rsidRDefault="00FA3E9E" w:rsidP="000F57ED">
            <w:pPr>
              <w:contextualSpacing/>
              <w:jc w:val="both"/>
              <w:rPr>
                <w:sz w:val="22"/>
                <w:szCs w:val="22"/>
              </w:rPr>
            </w:pPr>
            <w:r w:rsidRPr="00173EDA">
              <w:rPr>
                <w:sz w:val="22"/>
                <w:szCs w:val="22"/>
              </w:rPr>
              <w:t>Don Adams</w:t>
            </w:r>
          </w:p>
        </w:tc>
        <w:tc>
          <w:tcPr>
            <w:tcW w:w="1887" w:type="dxa"/>
            <w:tcBorders>
              <w:right w:val="single" w:sz="4" w:space="0" w:color="auto"/>
            </w:tcBorders>
          </w:tcPr>
          <w:p w14:paraId="5CA57175" w14:textId="77777777" w:rsidR="00FA3E9E" w:rsidRPr="00173EDA" w:rsidRDefault="00FA3E9E" w:rsidP="000F57ED">
            <w:pPr>
              <w:contextualSpacing/>
              <w:jc w:val="both"/>
              <w:rPr>
                <w:sz w:val="22"/>
                <w:szCs w:val="22"/>
              </w:rPr>
            </w:pPr>
            <w:r w:rsidRPr="00173EDA">
              <w:rPr>
                <w:sz w:val="22"/>
                <w:szCs w:val="22"/>
              </w:rPr>
              <w:t xml:space="preserve">Mike Goralski </w:t>
            </w:r>
          </w:p>
          <w:p w14:paraId="68893E9A" w14:textId="182EF624" w:rsidR="00FA3E9E" w:rsidRPr="00173EDA" w:rsidRDefault="00FA3E9E" w:rsidP="000F57ED">
            <w:pPr>
              <w:contextualSpacing/>
              <w:jc w:val="both"/>
              <w:rPr>
                <w:sz w:val="22"/>
                <w:szCs w:val="22"/>
              </w:rPr>
            </w:pPr>
            <w:r w:rsidRPr="00173EDA">
              <w:rPr>
                <w:sz w:val="22"/>
                <w:szCs w:val="22"/>
              </w:rPr>
              <w:t>Joe Dailey</w:t>
            </w:r>
          </w:p>
        </w:tc>
        <w:tc>
          <w:tcPr>
            <w:tcW w:w="2970" w:type="dxa"/>
            <w:tcBorders>
              <w:left w:val="single" w:sz="4" w:space="0" w:color="auto"/>
              <w:right w:val="single" w:sz="4" w:space="0" w:color="auto"/>
            </w:tcBorders>
          </w:tcPr>
          <w:p w14:paraId="7433944D" w14:textId="2B295623" w:rsidR="00FA3E9E" w:rsidRPr="000129C3" w:rsidRDefault="00FA3E9E" w:rsidP="00173EDA">
            <w:pPr>
              <w:rPr>
                <w:sz w:val="22"/>
                <w:szCs w:val="22"/>
              </w:rPr>
            </w:pPr>
          </w:p>
        </w:tc>
        <w:tc>
          <w:tcPr>
            <w:tcW w:w="2250" w:type="dxa"/>
            <w:tcBorders>
              <w:left w:val="single" w:sz="4" w:space="0" w:color="auto"/>
            </w:tcBorders>
          </w:tcPr>
          <w:p w14:paraId="79FD182A" w14:textId="4F1BD2B8" w:rsidR="00FA3E9E" w:rsidRPr="000129C3" w:rsidRDefault="00FA3E9E" w:rsidP="000F57ED">
            <w:pPr>
              <w:rPr>
                <w:sz w:val="22"/>
                <w:szCs w:val="22"/>
              </w:rPr>
            </w:pPr>
            <w:r w:rsidRPr="000129C3">
              <w:rPr>
                <w:sz w:val="22"/>
                <w:szCs w:val="22"/>
              </w:rPr>
              <w:t>Jennifer Gebhard</w:t>
            </w:r>
          </w:p>
          <w:p w14:paraId="79CD3F90" w14:textId="7DE44BC9" w:rsidR="00FA3E9E" w:rsidRPr="000129C3" w:rsidRDefault="00FA3E9E" w:rsidP="000F57ED">
            <w:pPr>
              <w:rPr>
                <w:sz w:val="22"/>
                <w:szCs w:val="22"/>
              </w:rPr>
            </w:pPr>
          </w:p>
        </w:tc>
      </w:tr>
      <w:tr w:rsidR="00FA3E9E" w:rsidRPr="000129C3" w14:paraId="1F97B3E4" w14:textId="77777777" w:rsidTr="00113833">
        <w:trPr>
          <w:trHeight w:val="93"/>
        </w:trPr>
        <w:tc>
          <w:tcPr>
            <w:tcW w:w="2163" w:type="dxa"/>
          </w:tcPr>
          <w:p w14:paraId="3FAE7E9A" w14:textId="1C82B833" w:rsidR="00FA3E9E" w:rsidRPr="00173EDA" w:rsidRDefault="00FA3E9E" w:rsidP="00FA3E9E">
            <w:pPr>
              <w:contextualSpacing/>
              <w:jc w:val="both"/>
              <w:rPr>
                <w:sz w:val="22"/>
                <w:szCs w:val="22"/>
              </w:rPr>
            </w:pPr>
            <w:r w:rsidRPr="00173EDA">
              <w:rPr>
                <w:sz w:val="22"/>
                <w:szCs w:val="22"/>
              </w:rPr>
              <w:t>Suzanne Derengowski(v)</w:t>
            </w:r>
          </w:p>
        </w:tc>
        <w:tc>
          <w:tcPr>
            <w:tcW w:w="1887" w:type="dxa"/>
            <w:tcBorders>
              <w:right w:val="single" w:sz="4" w:space="0" w:color="auto"/>
            </w:tcBorders>
          </w:tcPr>
          <w:p w14:paraId="508D60C5" w14:textId="77777777" w:rsidR="00FA3E9E" w:rsidRDefault="00FA3E9E" w:rsidP="00FA3E9E">
            <w:pPr>
              <w:contextualSpacing/>
              <w:jc w:val="both"/>
              <w:rPr>
                <w:sz w:val="22"/>
                <w:szCs w:val="22"/>
              </w:rPr>
            </w:pPr>
            <w:r w:rsidRPr="000129C3">
              <w:rPr>
                <w:sz w:val="22"/>
                <w:szCs w:val="22"/>
              </w:rPr>
              <w:t>Linda Sander</w:t>
            </w:r>
            <w:r>
              <w:rPr>
                <w:sz w:val="22"/>
                <w:szCs w:val="22"/>
              </w:rPr>
              <w:t>s</w:t>
            </w:r>
          </w:p>
          <w:p w14:paraId="243BB2D0" w14:textId="044D9583" w:rsidR="00C20C3A" w:rsidRPr="00173EDA" w:rsidRDefault="00C20C3A" w:rsidP="00FA3E9E">
            <w:pPr>
              <w:contextualSpacing/>
              <w:jc w:val="both"/>
              <w:rPr>
                <w:sz w:val="22"/>
                <w:szCs w:val="22"/>
              </w:rPr>
            </w:pPr>
            <w:r>
              <w:rPr>
                <w:sz w:val="22"/>
                <w:szCs w:val="22"/>
              </w:rPr>
              <w:t>Christine Altman</w:t>
            </w:r>
          </w:p>
        </w:tc>
        <w:tc>
          <w:tcPr>
            <w:tcW w:w="2970" w:type="dxa"/>
            <w:tcBorders>
              <w:left w:val="single" w:sz="4" w:space="0" w:color="auto"/>
              <w:right w:val="single" w:sz="4" w:space="0" w:color="auto"/>
            </w:tcBorders>
          </w:tcPr>
          <w:p w14:paraId="21479960" w14:textId="7AB86BE0" w:rsidR="00FA3E9E" w:rsidRPr="000129C3" w:rsidRDefault="00FA3E9E" w:rsidP="00FA3E9E">
            <w:pPr>
              <w:rPr>
                <w:sz w:val="22"/>
                <w:szCs w:val="22"/>
              </w:rPr>
            </w:pPr>
          </w:p>
        </w:tc>
        <w:tc>
          <w:tcPr>
            <w:tcW w:w="2250" w:type="dxa"/>
            <w:tcBorders>
              <w:left w:val="single" w:sz="4" w:space="0" w:color="auto"/>
            </w:tcBorders>
          </w:tcPr>
          <w:p w14:paraId="52D3BA1C" w14:textId="4488AF9D" w:rsidR="00FA3E9E" w:rsidRPr="000129C3" w:rsidRDefault="00FA3E9E" w:rsidP="00FA3E9E">
            <w:pPr>
              <w:rPr>
                <w:sz w:val="22"/>
                <w:szCs w:val="22"/>
              </w:rPr>
            </w:pPr>
          </w:p>
        </w:tc>
      </w:tr>
      <w:tr w:rsidR="00FA3E9E" w:rsidRPr="000129C3" w14:paraId="435DF485" w14:textId="77777777" w:rsidTr="00113833">
        <w:trPr>
          <w:trHeight w:val="93"/>
        </w:trPr>
        <w:tc>
          <w:tcPr>
            <w:tcW w:w="2163" w:type="dxa"/>
          </w:tcPr>
          <w:p w14:paraId="23F850A9" w14:textId="0AD81832" w:rsidR="00FA3E9E" w:rsidRPr="00173EDA" w:rsidRDefault="00FA3E9E" w:rsidP="00FA3E9E">
            <w:pPr>
              <w:contextualSpacing/>
              <w:jc w:val="both"/>
              <w:rPr>
                <w:sz w:val="22"/>
                <w:szCs w:val="22"/>
              </w:rPr>
            </w:pPr>
            <w:r w:rsidRPr="00173EDA">
              <w:rPr>
                <w:sz w:val="22"/>
                <w:szCs w:val="22"/>
              </w:rPr>
              <w:t xml:space="preserve">Kylene Swackhamer </w:t>
            </w:r>
          </w:p>
          <w:p w14:paraId="358FC34F" w14:textId="77777777" w:rsidR="00FA3E9E" w:rsidRPr="00173EDA" w:rsidRDefault="00FA3E9E" w:rsidP="00FA3E9E">
            <w:pPr>
              <w:contextualSpacing/>
              <w:jc w:val="both"/>
              <w:rPr>
                <w:sz w:val="22"/>
                <w:szCs w:val="22"/>
              </w:rPr>
            </w:pPr>
          </w:p>
        </w:tc>
        <w:tc>
          <w:tcPr>
            <w:tcW w:w="1887" w:type="dxa"/>
            <w:tcBorders>
              <w:right w:val="single" w:sz="4" w:space="0" w:color="auto"/>
            </w:tcBorders>
          </w:tcPr>
          <w:p w14:paraId="674482D1" w14:textId="223C3B02" w:rsidR="00FA3E9E" w:rsidRPr="00173EDA" w:rsidRDefault="00FA3E9E" w:rsidP="00FA3E9E">
            <w:pPr>
              <w:contextualSpacing/>
              <w:jc w:val="both"/>
              <w:rPr>
                <w:sz w:val="22"/>
                <w:szCs w:val="22"/>
              </w:rPr>
            </w:pPr>
            <w:r w:rsidRPr="000129C3">
              <w:rPr>
                <w:sz w:val="22"/>
                <w:szCs w:val="22"/>
              </w:rPr>
              <w:t>Ron Deer</w:t>
            </w:r>
            <w:r>
              <w:rPr>
                <w:sz w:val="22"/>
                <w:szCs w:val="22"/>
              </w:rPr>
              <w:t>(v)</w:t>
            </w:r>
          </w:p>
        </w:tc>
        <w:tc>
          <w:tcPr>
            <w:tcW w:w="2970" w:type="dxa"/>
            <w:tcBorders>
              <w:left w:val="single" w:sz="4" w:space="0" w:color="auto"/>
              <w:right w:val="single" w:sz="4" w:space="0" w:color="auto"/>
            </w:tcBorders>
          </w:tcPr>
          <w:p w14:paraId="4A5B72F4" w14:textId="77777777" w:rsidR="00FA3E9E" w:rsidRPr="000129C3" w:rsidRDefault="00FA3E9E" w:rsidP="00FA3E9E">
            <w:pPr>
              <w:rPr>
                <w:sz w:val="22"/>
                <w:szCs w:val="22"/>
              </w:rPr>
            </w:pPr>
          </w:p>
        </w:tc>
        <w:tc>
          <w:tcPr>
            <w:tcW w:w="2250" w:type="dxa"/>
            <w:tcBorders>
              <w:left w:val="single" w:sz="4" w:space="0" w:color="auto"/>
            </w:tcBorders>
          </w:tcPr>
          <w:p w14:paraId="3155CB1D" w14:textId="77777777" w:rsidR="00FA3E9E" w:rsidRPr="000129C3" w:rsidRDefault="00FA3E9E" w:rsidP="00FA3E9E">
            <w:pPr>
              <w:rPr>
                <w:sz w:val="22"/>
                <w:szCs w:val="22"/>
              </w:rPr>
            </w:pPr>
          </w:p>
        </w:tc>
      </w:tr>
    </w:tbl>
    <w:p w14:paraId="6EEFE422" w14:textId="1DE9A36B" w:rsidR="003D34F2" w:rsidRPr="003D34F2" w:rsidRDefault="0054305F" w:rsidP="003D34F2">
      <w:r w:rsidRPr="0054305F">
        <w:br/>
      </w:r>
      <w:r w:rsidR="00113833">
        <w:rPr>
          <w:b/>
          <w:bCs/>
          <w:sz w:val="22"/>
          <w:szCs w:val="22"/>
        </w:rPr>
        <w:t xml:space="preserve">Meeting Start </w:t>
      </w:r>
      <w:r w:rsidRPr="0054305F">
        <w:rPr>
          <w:b/>
          <w:bCs/>
          <w:sz w:val="22"/>
          <w:szCs w:val="22"/>
        </w:rPr>
        <w:t>Time:</w:t>
      </w:r>
      <w:r w:rsidRPr="0054305F">
        <w:rPr>
          <w:sz w:val="22"/>
          <w:szCs w:val="22"/>
        </w:rPr>
        <w:t xml:space="preserve"> 9:0</w:t>
      </w:r>
      <w:r w:rsidR="003D34F2">
        <w:rPr>
          <w:sz w:val="22"/>
          <w:szCs w:val="22"/>
        </w:rPr>
        <w:t>5</w:t>
      </w:r>
      <w:r w:rsidRPr="0054305F">
        <w:rPr>
          <w:sz w:val="22"/>
          <w:szCs w:val="22"/>
        </w:rPr>
        <w:t xml:space="preserve"> </w:t>
      </w:r>
      <w:r w:rsidR="00FE541B">
        <w:rPr>
          <w:sz w:val="22"/>
          <w:szCs w:val="22"/>
        </w:rPr>
        <w:t>a.m.</w:t>
      </w:r>
      <w:r w:rsidRPr="0054305F">
        <w:rPr>
          <w:sz w:val="22"/>
          <w:szCs w:val="22"/>
        </w:rPr>
        <w:br/>
      </w:r>
      <w:r w:rsidR="00000000">
        <w:pict w14:anchorId="50FA698F">
          <v:rect id="_x0000_i1025" style="width:0;height:1.5pt" o:hralign="center" o:hrstd="t" o:hr="t" fillcolor="#a0a0a0" stroked="f"/>
        </w:pict>
      </w:r>
    </w:p>
    <w:p w14:paraId="093CE2B9" w14:textId="5152BB32" w:rsidR="00194FED" w:rsidRDefault="00194FED" w:rsidP="003D34F2">
      <w:pPr>
        <w:rPr>
          <w:b/>
          <w:bCs/>
          <w:kern w:val="36"/>
          <w:sz w:val="48"/>
          <w:szCs w:val="48"/>
        </w:rPr>
      </w:pPr>
    </w:p>
    <w:p w14:paraId="4A097C41" w14:textId="77777777" w:rsidR="00824FB5" w:rsidRPr="00280580" w:rsidRDefault="00824FB5" w:rsidP="00824FB5">
      <w:pPr>
        <w:pStyle w:val="Heading1"/>
        <w:rPr>
          <w:rFonts w:ascii="Times New Roman" w:hAnsi="Times New Roman" w:cs="Times New Roman"/>
          <w:sz w:val="24"/>
          <w:szCs w:val="24"/>
        </w:rPr>
      </w:pPr>
      <w:r w:rsidRPr="00280580">
        <w:rPr>
          <w:rStyle w:val="Strong"/>
          <w:rFonts w:ascii="Times New Roman" w:hAnsi="Times New Roman" w:cs="Times New Roman"/>
          <w:b w:val="0"/>
          <w:bCs w:val="0"/>
          <w:sz w:val="24"/>
          <w:szCs w:val="24"/>
        </w:rPr>
        <w:t>Opening Activity: Introductions &amp; Gratitude Roundtable</w:t>
      </w:r>
    </w:p>
    <w:p w14:paraId="68F09F41" w14:textId="27B98B10" w:rsidR="00824FB5" w:rsidRDefault="00824FB5" w:rsidP="00824FB5">
      <w:pPr>
        <w:pStyle w:val="NormalWeb"/>
      </w:pPr>
      <w:r>
        <w:t xml:space="preserve">The board meeting was called to order at </w:t>
      </w:r>
      <w:r>
        <w:rPr>
          <w:rStyle w:val="Strong"/>
        </w:rPr>
        <w:t>9:05 a.m.</w:t>
      </w:r>
      <w:r>
        <w:t xml:space="preserve"> by </w:t>
      </w:r>
      <w:r>
        <w:rPr>
          <w:rStyle w:val="Strong"/>
        </w:rPr>
        <w:t>Jerry Bridges</w:t>
      </w:r>
      <w:r>
        <w:t>. Jen</w:t>
      </w:r>
      <w:r w:rsidR="002F0B70">
        <w:t>nifer</w:t>
      </w:r>
      <w:r>
        <w:t xml:space="preserve"> G</w:t>
      </w:r>
      <w:r w:rsidR="00884ABE">
        <w:t xml:space="preserve">ebhard </w:t>
      </w:r>
      <w:r>
        <w:t>conducted roll call and confirmed that a quorum was present.</w:t>
      </w:r>
      <w:r>
        <w:br/>
        <w:t>Each attendee introduced themselves and shared something they were thankful for this year. Themes included gratitude for family, health, employment stability, new grandchildren, children’s achievements, community service, friendships, and personal milestones. Ron joined virtually and shared appreciation for continued good days while on dialysis. Overall, the reflections set a positive tone for the meeting.</w:t>
      </w:r>
    </w:p>
    <w:p w14:paraId="721A720D" w14:textId="77777777" w:rsidR="00824FB5" w:rsidRDefault="00000000" w:rsidP="00824FB5">
      <w:r>
        <w:pict w14:anchorId="6F0D4AE5">
          <v:rect id="_x0000_i1026" style="width:0;height:1.5pt" o:hralign="center" o:hrstd="t" o:hr="t" fillcolor="#a0a0a0" stroked="f"/>
        </w:pict>
      </w:r>
    </w:p>
    <w:p w14:paraId="7B965D12" w14:textId="77777777" w:rsidR="00824FB5" w:rsidRPr="00280580" w:rsidRDefault="00824FB5" w:rsidP="00824FB5">
      <w:pPr>
        <w:pStyle w:val="Heading1"/>
        <w:rPr>
          <w:rFonts w:ascii="Times New Roman" w:hAnsi="Times New Roman" w:cs="Times New Roman"/>
          <w:sz w:val="24"/>
          <w:szCs w:val="24"/>
        </w:rPr>
      </w:pPr>
      <w:r w:rsidRPr="00280580">
        <w:rPr>
          <w:rStyle w:val="Strong"/>
          <w:rFonts w:ascii="Times New Roman" w:hAnsi="Times New Roman" w:cs="Times New Roman"/>
          <w:b w:val="0"/>
          <w:bCs w:val="0"/>
          <w:sz w:val="24"/>
          <w:szCs w:val="24"/>
        </w:rPr>
        <w:t>Consent Agenda &amp; Initial Resolutions</w:t>
      </w:r>
    </w:p>
    <w:p w14:paraId="527D8196" w14:textId="77777777" w:rsidR="00824FB5" w:rsidRDefault="00824FB5" w:rsidP="00824FB5">
      <w:pPr>
        <w:pStyle w:val="Heading3"/>
      </w:pPr>
      <w:r>
        <w:rPr>
          <w:rStyle w:val="Strong"/>
          <w:b w:val="0"/>
          <w:bCs w:val="0"/>
        </w:rPr>
        <w:t>Resolution 2025-12-09-01 – Approval of Agenda</w:t>
      </w:r>
    </w:p>
    <w:p w14:paraId="33E12FAF" w14:textId="4AA178E2" w:rsidR="00824FB5" w:rsidRDefault="00824FB5" w:rsidP="00824FB5">
      <w:pPr>
        <w:pStyle w:val="NormalWeb"/>
      </w:pPr>
      <w:r>
        <w:t xml:space="preserve">Motion to approve (Consent Agenda): </w:t>
      </w:r>
      <w:r w:rsidR="00EB1150">
        <w:rPr>
          <w:rStyle w:val="Strong"/>
        </w:rPr>
        <w:t>Larry</w:t>
      </w:r>
      <w:r>
        <w:t xml:space="preserve">; Second: </w:t>
      </w:r>
      <w:r>
        <w:rPr>
          <w:rStyle w:val="Strong"/>
        </w:rPr>
        <w:t>Linda</w:t>
      </w:r>
      <w:r>
        <w:t>.</w:t>
      </w:r>
      <w:r>
        <w:br/>
        <w:t>Approved by (roll call “aye” votes): Destin</w:t>
      </w:r>
      <w:r w:rsidR="00C20C3A">
        <w:t>y</w:t>
      </w:r>
      <w:r>
        <w:t>, Larry, Don, Christine, Joe, Ron, Suzanne, Mike, Andrew, Kylen</w:t>
      </w:r>
      <w:r w:rsidR="00C20C3A">
        <w:t>e</w:t>
      </w:r>
      <w:r>
        <w:t>,</w:t>
      </w:r>
      <w:r w:rsidR="00C20C3A">
        <w:t xml:space="preserve"> Brooke</w:t>
      </w:r>
      <w:r>
        <w:t>.</w:t>
      </w:r>
      <w:r>
        <w:br/>
        <w:t>No “no” votes were recorded.</w:t>
      </w:r>
    </w:p>
    <w:p w14:paraId="60EF1E65" w14:textId="77777777" w:rsidR="00824FB5" w:rsidRDefault="00000000" w:rsidP="00824FB5">
      <w:r>
        <w:lastRenderedPageBreak/>
        <w:pict w14:anchorId="6BFF32B8">
          <v:rect id="_x0000_i1027" style="width:0;height:1.5pt" o:hralign="center" o:hrstd="t" o:hr="t" fillcolor="#a0a0a0" stroked="f"/>
        </w:pict>
      </w:r>
    </w:p>
    <w:p w14:paraId="506DF004" w14:textId="77777777" w:rsidR="00824FB5" w:rsidRPr="00280580" w:rsidRDefault="00824FB5" w:rsidP="00824FB5">
      <w:pPr>
        <w:pStyle w:val="Heading1"/>
        <w:rPr>
          <w:rFonts w:ascii="Times New Roman" w:hAnsi="Times New Roman" w:cs="Times New Roman"/>
          <w:sz w:val="24"/>
          <w:szCs w:val="24"/>
        </w:rPr>
      </w:pPr>
      <w:r w:rsidRPr="00280580">
        <w:rPr>
          <w:rStyle w:val="Strong"/>
          <w:rFonts w:ascii="Times New Roman" w:hAnsi="Times New Roman" w:cs="Times New Roman"/>
          <w:b w:val="0"/>
          <w:bCs w:val="0"/>
          <w:sz w:val="24"/>
          <w:szCs w:val="24"/>
        </w:rPr>
        <w:t>New Business</w:t>
      </w:r>
    </w:p>
    <w:p w14:paraId="249DB5CD" w14:textId="77777777" w:rsidR="00824FB5" w:rsidRDefault="00824FB5" w:rsidP="00824FB5">
      <w:pPr>
        <w:pStyle w:val="Heading3"/>
      </w:pPr>
      <w:r>
        <w:rPr>
          <w:rStyle w:val="Strong"/>
          <w:b w:val="0"/>
          <w:bCs w:val="0"/>
        </w:rPr>
        <w:t>Resolution 2025-12-09-02 – Approval of 2026 Budget</w:t>
      </w:r>
    </w:p>
    <w:p w14:paraId="12D12E25" w14:textId="231059FE" w:rsidR="008E11E9" w:rsidRDefault="008E11E9" w:rsidP="008E11E9">
      <w:pPr>
        <w:pStyle w:val="NormalWeb"/>
      </w:pPr>
      <w:r>
        <w:t>Jennifer presented the proposed 2026 CIRTA budget, noting several updates and adjustments intended to strengthen financial transparency and prepare for anticipated statewide fiscal impacts.</w:t>
      </w:r>
    </w:p>
    <w:p w14:paraId="7DE40F23" w14:textId="77777777" w:rsidR="008E11E9" w:rsidRDefault="008E11E9" w:rsidP="008E11E9">
      <w:pPr>
        <w:pStyle w:val="NormalWeb"/>
      </w:pPr>
      <w:r>
        <w:rPr>
          <w:rStyle w:val="Strong"/>
        </w:rPr>
        <w:t>Key Budget Highlights:</w:t>
      </w:r>
      <w:r>
        <w:br/>
        <w:t>• Connector revenue separated into its own line item to improve clarity and audit transparency.</w:t>
      </w:r>
      <w:r>
        <w:br/>
        <w:t>• Updated salary allocation distribution to more accurately reflect actual staff time across programs and meet federal reporting requirements.</w:t>
      </w:r>
      <w:r>
        <w:br/>
        <w:t>• A portion of public relations expenses shifted to Mobility Management grants, freeing general fund resources and aligning costs with grant-eligible activities.</w:t>
      </w:r>
      <w:r>
        <w:br/>
        <w:t>• CIRTA secured a new United Healthcare plan resulting in approximately $900/month in savings for both CIRTA and employees.</w:t>
      </w:r>
      <w:r>
        <w:br/>
        <w:t>• The budget remains intentionally conservative due to potential revenue impacts associated with Senate Bill 1.</w:t>
      </w:r>
    </w:p>
    <w:p w14:paraId="3125BFC8" w14:textId="5750F4E4" w:rsidR="008E11E9" w:rsidRDefault="008E11E9" w:rsidP="008E11E9">
      <w:pPr>
        <w:pStyle w:val="NormalWeb"/>
      </w:pPr>
      <w:r>
        <w:rPr>
          <w:rStyle w:val="Strong"/>
        </w:rPr>
        <w:t>Board Discussion:</w:t>
      </w:r>
      <w:r>
        <w:br/>
        <w:t>• Members supported the transparency improvements and agreed the adjustments strengthen CIRTA’s financial reporting.</w:t>
      </w:r>
      <w:r>
        <w:br/>
        <w:t>• Healthcare savings were recognized as significant, improving CIRTA’s ability to manage possible future reductions in partner contributions.</w:t>
      </w:r>
      <w:r>
        <w:br/>
        <w:t>• Jennifer confirmed CIRTA is positioned to end the year in a stable financial condition with reserves aligned to agency policy.</w:t>
      </w:r>
    </w:p>
    <w:p w14:paraId="3029C5EF" w14:textId="77777777" w:rsidR="008E11E9" w:rsidRPr="00280580" w:rsidRDefault="008E11E9" w:rsidP="008E11E9">
      <w:pPr>
        <w:pStyle w:val="Heading3"/>
        <w:rPr>
          <w:rFonts w:ascii="Times New Roman" w:hAnsi="Times New Roman" w:cs="Times New Roman"/>
        </w:rPr>
      </w:pPr>
      <w:r w:rsidRPr="00280580">
        <w:rPr>
          <w:rStyle w:val="Strong"/>
          <w:rFonts w:ascii="Times New Roman" w:hAnsi="Times New Roman" w:cs="Times New Roman"/>
          <w:b w:val="0"/>
          <w:bCs w:val="0"/>
        </w:rPr>
        <w:t>Board Conclusion</w:t>
      </w:r>
    </w:p>
    <w:p w14:paraId="4D9B34C5" w14:textId="77777777" w:rsidR="008E11E9" w:rsidRDefault="008E11E9" w:rsidP="008E11E9">
      <w:pPr>
        <w:pStyle w:val="NormalWeb"/>
      </w:pPr>
      <w:r>
        <w:t>The board agreed the budget supports CIRTA’s strategic priorities, maintains fiscal responsibility during uncertain conditions, and positions the agency well for continued mobility service expansion.</w:t>
      </w:r>
    </w:p>
    <w:p w14:paraId="290D4CC2" w14:textId="1AE742E1" w:rsidR="00824FB5" w:rsidRDefault="00824FB5" w:rsidP="00824FB5">
      <w:pPr>
        <w:pStyle w:val="NormalWeb"/>
      </w:pPr>
      <w:r>
        <w:rPr>
          <w:rStyle w:val="Strong"/>
        </w:rPr>
        <w:t>Outcome:</w:t>
      </w:r>
      <w:r>
        <w:br/>
        <w:t xml:space="preserve">Motion to approve: </w:t>
      </w:r>
      <w:r>
        <w:rPr>
          <w:rStyle w:val="Strong"/>
        </w:rPr>
        <w:t>Linda</w:t>
      </w:r>
      <w:r>
        <w:t xml:space="preserve">; Second: </w:t>
      </w:r>
      <w:r>
        <w:rPr>
          <w:rStyle w:val="Strong"/>
        </w:rPr>
        <w:t>Mike</w:t>
      </w:r>
      <w:r>
        <w:t>.</w:t>
      </w:r>
      <w:r>
        <w:br/>
        <w:t>Approved by (roll call “aye” votes): Destiny, Larry, Don, Christine, Joe, Ron, Suzanne, Mike, Andrew, Kylen</w:t>
      </w:r>
      <w:r w:rsidR="00C20C3A">
        <w:t>e</w:t>
      </w:r>
      <w:r>
        <w:t>, Brooke.</w:t>
      </w:r>
      <w:r>
        <w:br/>
        <w:t>No “no” votes were recorded.</w:t>
      </w:r>
    </w:p>
    <w:p w14:paraId="7E466625" w14:textId="77777777" w:rsidR="00824FB5" w:rsidRDefault="00000000" w:rsidP="00824FB5">
      <w:r>
        <w:pict w14:anchorId="38499CAE">
          <v:rect id="_x0000_i1028" style="width:0;height:1.5pt" o:hralign="center" o:hrstd="t" o:hr="t" fillcolor="#a0a0a0" stroked="f"/>
        </w:pict>
      </w:r>
    </w:p>
    <w:p w14:paraId="6DC99811" w14:textId="07CCFFF7" w:rsidR="00824FB5" w:rsidRPr="00280580" w:rsidRDefault="00824FB5" w:rsidP="00824FB5">
      <w:pPr>
        <w:pStyle w:val="Heading3"/>
        <w:rPr>
          <w:rFonts w:ascii="Times New Roman" w:hAnsi="Times New Roman" w:cs="Times New Roman"/>
        </w:rPr>
      </w:pPr>
      <w:r w:rsidRPr="00280580">
        <w:rPr>
          <w:rStyle w:val="Strong"/>
          <w:rFonts w:ascii="Times New Roman" w:hAnsi="Times New Roman" w:cs="Times New Roman"/>
          <w:b w:val="0"/>
          <w:bCs w:val="0"/>
        </w:rPr>
        <w:lastRenderedPageBreak/>
        <w:t>Resolution 2025-12-09-03 – Legal Counsel Contract</w:t>
      </w:r>
    </w:p>
    <w:p w14:paraId="64DA8C90" w14:textId="77777777" w:rsidR="00320631" w:rsidRDefault="00824FB5" w:rsidP="00824FB5">
      <w:pPr>
        <w:pStyle w:val="NormalWeb"/>
        <w:contextualSpacing/>
      </w:pPr>
      <w:r>
        <w:t xml:space="preserve">• Jennifer presented the recommendation to renew the annual legal services contract with </w:t>
      </w:r>
      <w:r w:rsidR="00534D27">
        <w:t>An</w:t>
      </w:r>
      <w:r>
        <w:t>n</w:t>
      </w:r>
      <w:r w:rsidR="002F0B70">
        <w:t>e</w:t>
      </w:r>
      <w:r>
        <w:t xml:space="preserve">, noting that CIRTA has received consistently strong legal </w:t>
      </w:r>
      <w:r w:rsidR="00320631">
        <w:t>needs.</w:t>
      </w:r>
    </w:p>
    <w:p w14:paraId="1B166013" w14:textId="77777777" w:rsidR="00865844" w:rsidRDefault="00824FB5" w:rsidP="00824FB5">
      <w:pPr>
        <w:pStyle w:val="NormalWeb"/>
        <w:contextualSpacing/>
      </w:pPr>
      <w:r>
        <w:t xml:space="preserve">• Board members confirmed satisfaction with the quality, responsiveness, and reliability of legal guidance provided throughout the previous contract term. Jennifer emphasized that </w:t>
      </w:r>
      <w:r w:rsidR="00534D27">
        <w:t>An</w:t>
      </w:r>
      <w:r>
        <w:t>n</w:t>
      </w:r>
      <w:r w:rsidR="002F0B70">
        <w:t>e</w:t>
      </w:r>
      <w:r>
        <w:t>’s familiarity with CIRTA’s ongoing issues, including FTA requirements and the agency’s multi-year audit cycle, is beneficial for continuity.</w:t>
      </w:r>
    </w:p>
    <w:p w14:paraId="69DBC37A" w14:textId="4470869A" w:rsidR="00824FB5" w:rsidRDefault="00824FB5" w:rsidP="00824FB5">
      <w:pPr>
        <w:pStyle w:val="NormalWeb"/>
        <w:contextualSpacing/>
      </w:pPr>
      <w:r>
        <w:t>• No board members raised concerns regarding performance, contract terms, or cost. The $20,000 annual amount, billed in equal installments, is consistent with prior years and was already incorporated into the 2026 budget. The board noted that the legal counsel relationship has contributed positively to resolving previous FTA Triennial Review items and supporting various agency policy updates during the year.</w:t>
      </w:r>
      <w:r>
        <w:br/>
        <w:t>• No amendments to the contract or scope of work were requested. No public comments or conflicts of interest were declared regarding this resolution.</w:t>
      </w:r>
    </w:p>
    <w:p w14:paraId="2EE7108A" w14:textId="34FD6AE9" w:rsidR="00824FB5" w:rsidRDefault="00824FB5" w:rsidP="00824FB5">
      <w:pPr>
        <w:pStyle w:val="NormalWeb"/>
      </w:pPr>
      <w:r>
        <w:rPr>
          <w:rStyle w:val="Strong"/>
        </w:rPr>
        <w:t>Motion to approve:</w:t>
      </w:r>
      <w:r>
        <w:t xml:space="preserve"> </w:t>
      </w:r>
      <w:r>
        <w:rPr>
          <w:rStyle w:val="Strong"/>
        </w:rPr>
        <w:t>Linda</w:t>
      </w:r>
      <w:r>
        <w:t xml:space="preserve">; Second: </w:t>
      </w:r>
      <w:r>
        <w:rPr>
          <w:rStyle w:val="Strong"/>
        </w:rPr>
        <w:t>Mike</w:t>
      </w:r>
      <w:r>
        <w:t>.</w:t>
      </w:r>
      <w:r>
        <w:br/>
        <w:t>Approved by (roll call “aye” votes): Destiny, Larry, Don, Christine, Joe, Ron, Suzanne, Mike, Andrew, Kylen</w:t>
      </w:r>
      <w:r w:rsidR="00C20C3A">
        <w:t>e</w:t>
      </w:r>
      <w:r>
        <w:t>, Brooke.</w:t>
      </w:r>
      <w:r>
        <w:br/>
        <w:t>No “no” votes were recorded.</w:t>
      </w:r>
    </w:p>
    <w:p w14:paraId="71724337" w14:textId="77777777" w:rsidR="00824FB5" w:rsidRDefault="00000000" w:rsidP="00824FB5">
      <w:r>
        <w:pict w14:anchorId="7B0C7EF9">
          <v:rect id="_x0000_i1029" style="width:0;height:1.5pt" o:hralign="center" o:hrstd="t" o:hr="t" fillcolor="#a0a0a0" stroked="f"/>
        </w:pict>
      </w:r>
    </w:p>
    <w:p w14:paraId="478980F4" w14:textId="77777777" w:rsidR="00824FB5" w:rsidRPr="00280580" w:rsidRDefault="00824FB5" w:rsidP="00824FB5">
      <w:pPr>
        <w:pStyle w:val="Heading3"/>
        <w:rPr>
          <w:rFonts w:ascii="Times New Roman" w:hAnsi="Times New Roman" w:cs="Times New Roman"/>
          <w:color w:val="2F5496" w:themeColor="accent1" w:themeShade="BF"/>
        </w:rPr>
      </w:pPr>
      <w:r w:rsidRPr="00280580">
        <w:rPr>
          <w:rStyle w:val="Strong"/>
          <w:rFonts w:ascii="Times New Roman" w:hAnsi="Times New Roman" w:cs="Times New Roman"/>
          <w:b w:val="0"/>
          <w:bCs w:val="0"/>
          <w:color w:val="2F5496" w:themeColor="accent1" w:themeShade="BF"/>
        </w:rPr>
        <w:t>Resolution 2025-12-09-04 – Legislative Services Contract (Ice Miller)</w:t>
      </w:r>
    </w:p>
    <w:p w14:paraId="0124E0BE" w14:textId="47DEB38B" w:rsidR="00824FB5" w:rsidRDefault="00824FB5" w:rsidP="00824FB5">
      <w:pPr>
        <w:pStyle w:val="NormalWeb"/>
      </w:pPr>
      <w:r>
        <w:rPr>
          <w:rStyle w:val="Strong"/>
        </w:rPr>
        <w:t>Expanded Discussion Summary:</w:t>
      </w:r>
      <w:r>
        <w:br/>
        <w:t>• Jennifer explained that T</w:t>
      </w:r>
      <w:r w:rsidR="002F777E">
        <w:t>amm</w:t>
      </w:r>
      <w:r>
        <w:t xml:space="preserve"> Capital, CIRTA’s current legislative services provider, had recently transitioned into Ice Miller, a larger Indianapolis-based law firm. Because the original scope was publicly advertised under T</w:t>
      </w:r>
      <w:r w:rsidR="002F777E">
        <w:t>amm</w:t>
      </w:r>
      <w:r>
        <w:t xml:space="preserve"> Capital, the agenda and resolution required formal amendment to reflect Ice Miller as the contractual party.</w:t>
      </w:r>
      <w:r>
        <w:br/>
        <w:t>• The board held a lengthy and detailed discussion to ensure CIRTA maintained continuity in legislative representation during the upcoming General Assembly session, while also protecting CIRTA’s contractual interests.</w:t>
      </w:r>
    </w:p>
    <w:p w14:paraId="7ECE932A" w14:textId="77777777" w:rsidR="00824FB5" w:rsidRDefault="00000000" w:rsidP="00824FB5">
      <w:r>
        <w:pict w14:anchorId="29700667">
          <v:rect id="_x0000_i1030" style="width:0;height:1.5pt" o:hralign="center" o:hrstd="t" o:hr="t" fillcolor="#a0a0a0" stroked="f"/>
        </w:pict>
      </w:r>
    </w:p>
    <w:p w14:paraId="55F0B0A9" w14:textId="77777777" w:rsidR="00824FB5" w:rsidRPr="00280580" w:rsidRDefault="00824FB5" w:rsidP="00824FB5">
      <w:pPr>
        <w:pStyle w:val="Heading3"/>
        <w:rPr>
          <w:rFonts w:ascii="Times New Roman" w:hAnsi="Times New Roman" w:cs="Times New Roman"/>
          <w:color w:val="2F5496" w:themeColor="accent1" w:themeShade="BF"/>
        </w:rPr>
      </w:pPr>
      <w:r w:rsidRPr="00280580">
        <w:rPr>
          <w:rStyle w:val="Strong"/>
          <w:rFonts w:ascii="Times New Roman" w:hAnsi="Times New Roman" w:cs="Times New Roman"/>
          <w:b w:val="0"/>
          <w:bCs w:val="0"/>
          <w:color w:val="2F5496" w:themeColor="accent1" w:themeShade="BF"/>
        </w:rPr>
        <w:t>Concerns &amp; Clarifications Raised by the Board</w:t>
      </w:r>
    </w:p>
    <w:p w14:paraId="0DB63943" w14:textId="77777777" w:rsidR="00824FB5" w:rsidRDefault="00824FB5" w:rsidP="00824FB5">
      <w:pPr>
        <w:pStyle w:val="NormalWeb"/>
      </w:pPr>
      <w:r w:rsidRPr="00280580">
        <w:rPr>
          <w:rStyle w:val="Strong"/>
          <w:b w:val="0"/>
          <w:bCs w:val="0"/>
          <w:color w:val="4472C4" w:themeColor="accent1"/>
        </w:rPr>
        <w:t>1. Potential Conflicts of Interest</w:t>
      </w:r>
      <w:r>
        <w:br/>
        <w:t>• Larry raised concerns about whether a large, multi-client firm such as Ice Miller might have clients with interests conflicting with CIRTA.</w:t>
      </w:r>
      <w:r>
        <w:br/>
        <w:t>• Ice Miller representatives (Patrick &amp; Abby) explained:</w:t>
      </w:r>
      <w:r>
        <w:br/>
        <w:t>o All CIRTA-related clients had completed internal conflict checks.</w:t>
      </w:r>
      <w:r>
        <w:br/>
        <w:t>o No present or foreseeable conflicts had been identified.</w:t>
      </w:r>
      <w:r>
        <w:br/>
        <w:t>o Ice Miller is obligated to notify CIRTA immediately if a conflict arises.</w:t>
      </w:r>
      <w:r>
        <w:br/>
      </w:r>
      <w:r>
        <w:lastRenderedPageBreak/>
        <w:t>o Patrick, now a Principal at Ice Miller, retains authority to argue for continuation of representation in potential conflict scenarios.</w:t>
      </w:r>
    </w:p>
    <w:p w14:paraId="22BF681A" w14:textId="0A608E34" w:rsidR="00824FB5" w:rsidRDefault="00824FB5" w:rsidP="00824FB5">
      <w:pPr>
        <w:pStyle w:val="NormalWeb"/>
      </w:pPr>
      <w:r w:rsidRPr="00280580">
        <w:rPr>
          <w:rStyle w:val="Strong"/>
          <w:b w:val="0"/>
          <w:bCs w:val="0"/>
          <w:color w:val="2F5496" w:themeColor="accent1" w:themeShade="BF"/>
        </w:rPr>
        <w:t>2. Continuity of Representation</w:t>
      </w:r>
      <w:r>
        <w:br/>
        <w:t>• Several board members emphasized the importance of ensuring that Patrick and Abby</w:t>
      </w:r>
      <w:r w:rsidR="00884ABE">
        <w:t xml:space="preserve"> </w:t>
      </w:r>
      <w:r>
        <w:t>remain the designated representatives under the new contract.</w:t>
      </w:r>
      <w:r>
        <w:br/>
        <w:t>• Representatives affirmed that the contract can and should specify Patrick and Abby as CIRTA’s assigned lobbyists.</w:t>
      </w:r>
    </w:p>
    <w:p w14:paraId="24098018" w14:textId="1418AE2C" w:rsidR="00824FB5" w:rsidRDefault="00824FB5" w:rsidP="00824FB5">
      <w:pPr>
        <w:pStyle w:val="NormalWeb"/>
      </w:pPr>
      <w:r w:rsidRPr="00280580">
        <w:rPr>
          <w:rStyle w:val="Strong"/>
          <w:b w:val="0"/>
          <w:bCs w:val="0"/>
          <w:color w:val="2F5496" w:themeColor="accent1" w:themeShade="BF"/>
        </w:rPr>
        <w:t>3. Contract Language Concerns</w:t>
      </w:r>
      <w:r>
        <w:br/>
        <w:t>• CIRTA legal counsel (Ann</w:t>
      </w:r>
      <w:r w:rsidR="002F0B70">
        <w:t>e</w:t>
      </w:r>
      <w:r>
        <w:t>) noted that Ice Miller’s proposed contract contained standard boilerplate language that required revision to:</w:t>
      </w:r>
      <w:r>
        <w:br/>
        <w:t>o Reflect CIRTA procurement standards</w:t>
      </w:r>
      <w:r>
        <w:br/>
        <w:t>o Clarify termination rights</w:t>
      </w:r>
      <w:r>
        <w:br/>
        <w:t>o Align payment terms with CIRTA’s existing practices</w:t>
      </w:r>
      <w:r>
        <w:br/>
        <w:t>o Ensure compliance with public-sector contracting requirements</w:t>
      </w:r>
      <w:r>
        <w:br/>
        <w:t>• Because the new language was received only shortly before the meeting, the board expressed discomfort approving it outright without proper review.</w:t>
      </w:r>
    </w:p>
    <w:p w14:paraId="1B83D99C" w14:textId="77777777" w:rsidR="00824FB5" w:rsidRDefault="00000000" w:rsidP="00824FB5">
      <w:r>
        <w:pict w14:anchorId="49B25F48">
          <v:rect id="_x0000_i1031" style="width:0;height:1.5pt" o:hralign="center" o:hrstd="t" o:hr="t" fillcolor="#a0a0a0" stroked="f"/>
        </w:pict>
      </w:r>
    </w:p>
    <w:p w14:paraId="596D409A" w14:textId="77777777" w:rsidR="00406668" w:rsidRDefault="00824FB5" w:rsidP="002160AF">
      <w:pPr>
        <w:pStyle w:val="Heading3"/>
        <w:rPr>
          <w:rStyle w:val="Strong"/>
          <w:rFonts w:ascii="Times New Roman" w:hAnsi="Times New Roman" w:cs="Times New Roman"/>
          <w:b w:val="0"/>
          <w:bCs w:val="0"/>
          <w:color w:val="2F5496" w:themeColor="accent1" w:themeShade="BF"/>
        </w:rPr>
      </w:pPr>
      <w:r w:rsidRPr="00280580">
        <w:rPr>
          <w:rStyle w:val="Strong"/>
          <w:rFonts w:ascii="Times New Roman" w:hAnsi="Times New Roman" w:cs="Times New Roman"/>
          <w:b w:val="0"/>
          <w:bCs w:val="0"/>
          <w:color w:val="2F5496" w:themeColor="accent1" w:themeShade="BF"/>
        </w:rPr>
        <w:t>4. Timing Considerations</w:t>
      </w:r>
    </w:p>
    <w:p w14:paraId="2C9AD490" w14:textId="7641E7F9" w:rsidR="00824FB5" w:rsidRDefault="00824FB5" w:rsidP="002160AF">
      <w:pPr>
        <w:pStyle w:val="Heading3"/>
        <w:rPr>
          <w:rFonts w:ascii="Times New Roman" w:hAnsi="Times New Roman" w:cs="Times New Roman"/>
          <w:color w:val="000000" w:themeColor="text1"/>
        </w:rPr>
      </w:pPr>
      <w:r w:rsidRPr="00406668">
        <w:rPr>
          <w:rFonts w:ascii="Times New Roman" w:hAnsi="Times New Roman" w:cs="Times New Roman"/>
          <w:color w:val="000000" w:themeColor="text1"/>
        </w:rPr>
        <w:t>• The legislative session begins in early January, leaving very little time to finalize an alternative if no contract was in place.</w:t>
      </w:r>
      <w:r w:rsidRPr="00406668">
        <w:rPr>
          <w:rFonts w:ascii="Times New Roman" w:hAnsi="Times New Roman" w:cs="Times New Roman"/>
          <w:color w:val="000000" w:themeColor="text1"/>
        </w:rPr>
        <w:br/>
        <w:t>• Board members stressed that:</w:t>
      </w:r>
      <w:r w:rsidRPr="00406668">
        <w:rPr>
          <w:rFonts w:ascii="Times New Roman" w:hAnsi="Times New Roman" w:cs="Times New Roman"/>
          <w:color w:val="000000" w:themeColor="text1"/>
        </w:rPr>
        <w:br/>
        <w:t>o CIRTA cannot go into session without representation.</w:t>
      </w:r>
      <w:r w:rsidRPr="00406668">
        <w:rPr>
          <w:rFonts w:ascii="Times New Roman" w:hAnsi="Times New Roman" w:cs="Times New Roman"/>
          <w:color w:val="000000" w:themeColor="text1"/>
        </w:rPr>
        <w:br/>
        <w:t>o The approval must reflect urgency but preserve CIRTA’s legal protections.</w:t>
      </w:r>
    </w:p>
    <w:p w14:paraId="2828923C" w14:textId="77777777" w:rsidR="0060431B" w:rsidRPr="0060431B" w:rsidRDefault="0060431B" w:rsidP="0060431B"/>
    <w:p w14:paraId="06750B5C" w14:textId="77777777" w:rsidR="0083548F" w:rsidRDefault="00824FB5" w:rsidP="0083548F">
      <w:pPr>
        <w:pStyle w:val="Heading3"/>
        <w:rPr>
          <w:rStyle w:val="Strong"/>
          <w:rFonts w:ascii="Times New Roman" w:hAnsi="Times New Roman" w:cs="Times New Roman"/>
          <w:b w:val="0"/>
          <w:bCs w:val="0"/>
          <w:color w:val="4472C4" w:themeColor="accent1"/>
        </w:rPr>
      </w:pPr>
      <w:r w:rsidRPr="0060431B">
        <w:rPr>
          <w:rStyle w:val="Strong"/>
          <w:rFonts w:ascii="Times New Roman" w:hAnsi="Times New Roman" w:cs="Times New Roman"/>
          <w:b w:val="0"/>
          <w:bCs w:val="0"/>
          <w:color w:val="4472C4" w:themeColor="accent1"/>
        </w:rPr>
        <w:t>5. Quorum Concerns</w:t>
      </w:r>
    </w:p>
    <w:p w14:paraId="0FCCB892" w14:textId="6B0A553E" w:rsidR="00824FB5" w:rsidRPr="0083548F" w:rsidRDefault="00824FB5" w:rsidP="0083548F">
      <w:pPr>
        <w:pStyle w:val="Heading3"/>
        <w:rPr>
          <w:rFonts w:ascii="Times New Roman" w:hAnsi="Times New Roman" w:cs="Times New Roman"/>
          <w:color w:val="000000" w:themeColor="text1"/>
        </w:rPr>
      </w:pPr>
      <w:r>
        <w:t xml:space="preserve">• </w:t>
      </w:r>
      <w:r w:rsidRPr="0083548F">
        <w:rPr>
          <w:rFonts w:ascii="Times New Roman" w:hAnsi="Times New Roman" w:cs="Times New Roman"/>
          <w:color w:val="000000" w:themeColor="text1"/>
        </w:rPr>
        <w:t>Destiny reminded the board that:</w:t>
      </w:r>
      <w:r w:rsidRPr="0083548F">
        <w:rPr>
          <w:rFonts w:ascii="Times New Roman" w:hAnsi="Times New Roman" w:cs="Times New Roman"/>
          <w:color w:val="000000" w:themeColor="text1"/>
        </w:rPr>
        <w:br/>
        <w:t>o CIRTA currently lacks several appointed board members.</w:t>
      </w:r>
      <w:r w:rsidRPr="0083548F">
        <w:rPr>
          <w:rFonts w:ascii="Times New Roman" w:hAnsi="Times New Roman" w:cs="Times New Roman"/>
          <w:color w:val="000000" w:themeColor="text1"/>
        </w:rPr>
        <w:br/>
        <w:t>o There is risk of not having quorum in February, which could jeopardize the ability to finalize a contract if approval were delayed.</w:t>
      </w:r>
      <w:r w:rsidRPr="0083548F">
        <w:rPr>
          <w:rFonts w:ascii="Times New Roman" w:hAnsi="Times New Roman" w:cs="Times New Roman"/>
          <w:color w:val="000000" w:themeColor="text1"/>
        </w:rPr>
        <w:br/>
        <w:t>• This became a key factor in approving a conditional, rather than final, contract.</w:t>
      </w:r>
    </w:p>
    <w:p w14:paraId="3BD17F8C" w14:textId="77777777" w:rsidR="00824FB5" w:rsidRPr="0083548F" w:rsidRDefault="00824FB5" w:rsidP="00824FB5">
      <w:pPr>
        <w:pStyle w:val="Heading3"/>
        <w:rPr>
          <w:rFonts w:ascii="Times New Roman" w:hAnsi="Times New Roman" w:cs="Times New Roman"/>
          <w:color w:val="000000" w:themeColor="text1"/>
        </w:rPr>
      </w:pPr>
      <w:r w:rsidRPr="0083548F">
        <w:rPr>
          <w:rStyle w:val="Strong"/>
          <w:rFonts w:ascii="Times New Roman" w:hAnsi="Times New Roman" w:cs="Times New Roman"/>
          <w:b w:val="0"/>
          <w:bCs w:val="0"/>
          <w:color w:val="000000" w:themeColor="text1"/>
        </w:rPr>
        <w:t>6. Budgetary Context</w:t>
      </w:r>
    </w:p>
    <w:p w14:paraId="6F16F4C6" w14:textId="77777777" w:rsidR="00824FB5" w:rsidRDefault="00824FB5" w:rsidP="00824FB5">
      <w:pPr>
        <w:pStyle w:val="NormalWeb"/>
      </w:pPr>
      <w:r>
        <w:t>• Several members noted that Senate Bill 1 and statewide revenue constraints could affect local government budgets, which makes CIRTA’s legislative advocacy more important this session.</w:t>
      </w:r>
      <w:r>
        <w:br/>
        <w:t>• CIRTA needs consistent representation during a period when transit funding, LIT distribution issues, and local fiscal impacts are under review.</w:t>
      </w:r>
    </w:p>
    <w:p w14:paraId="5EB944BE" w14:textId="77777777" w:rsidR="00824FB5" w:rsidRDefault="00000000" w:rsidP="00824FB5">
      <w:r>
        <w:lastRenderedPageBreak/>
        <w:pict w14:anchorId="5AFE1A08">
          <v:rect id="_x0000_i1032" style="width:0;height:1.5pt" o:hralign="center" o:hrstd="t" o:hr="t" fillcolor="#a0a0a0" stroked="f"/>
        </w:pict>
      </w:r>
    </w:p>
    <w:p w14:paraId="048F0DC3" w14:textId="77777777" w:rsidR="00824FB5" w:rsidRPr="00280580" w:rsidRDefault="00824FB5" w:rsidP="00824FB5">
      <w:pPr>
        <w:pStyle w:val="Heading3"/>
        <w:rPr>
          <w:rFonts w:ascii="Times New Roman" w:hAnsi="Times New Roman" w:cs="Times New Roman"/>
          <w:color w:val="2F5496" w:themeColor="accent1" w:themeShade="BF"/>
        </w:rPr>
      </w:pPr>
      <w:r w:rsidRPr="00280580">
        <w:rPr>
          <w:rStyle w:val="Strong"/>
          <w:rFonts w:ascii="Times New Roman" w:hAnsi="Times New Roman" w:cs="Times New Roman"/>
          <w:b w:val="0"/>
          <w:bCs w:val="0"/>
          <w:color w:val="2F5496" w:themeColor="accent1" w:themeShade="BF"/>
        </w:rPr>
        <w:t>Final Motion Components (as amended during discussion)</w:t>
      </w:r>
    </w:p>
    <w:p w14:paraId="7F0F920E" w14:textId="77777777" w:rsidR="00824FB5" w:rsidRDefault="00824FB5" w:rsidP="00824FB5">
      <w:pPr>
        <w:pStyle w:val="NormalWeb"/>
      </w:pPr>
      <w:r>
        <w:t>The board agreed to:</w:t>
      </w:r>
    </w:p>
    <w:p w14:paraId="13632756" w14:textId="77777777" w:rsidR="00824FB5" w:rsidRDefault="00824FB5" w:rsidP="00824FB5">
      <w:pPr>
        <w:pStyle w:val="NormalWeb"/>
        <w:numPr>
          <w:ilvl w:val="0"/>
          <w:numId w:val="39"/>
        </w:numPr>
      </w:pPr>
      <w:r>
        <w:t xml:space="preserve">Authorize a one-year legislative services contract with Ice Miller totaling </w:t>
      </w:r>
      <w:r>
        <w:rPr>
          <w:rStyle w:val="Strong"/>
        </w:rPr>
        <w:t>$42,000</w:t>
      </w:r>
      <w:r>
        <w:t>.</w:t>
      </w:r>
    </w:p>
    <w:p w14:paraId="5DE8D8A5" w14:textId="7CF87FEF" w:rsidR="00824FB5" w:rsidRDefault="00824FB5" w:rsidP="00824FB5">
      <w:pPr>
        <w:pStyle w:val="NormalWeb"/>
        <w:numPr>
          <w:ilvl w:val="0"/>
          <w:numId w:val="39"/>
        </w:numPr>
      </w:pPr>
      <w:r>
        <w:t>The contract is contingent upon CIRTA legal counsel (Ann</w:t>
      </w:r>
      <w:r w:rsidR="00707F2D">
        <w:t>e</w:t>
      </w:r>
      <w:r>
        <w:t>) negotiating acceptable terms with Ice Miller.</w:t>
      </w:r>
    </w:p>
    <w:p w14:paraId="48CC19F1" w14:textId="77777777" w:rsidR="00824FB5" w:rsidRDefault="00824FB5" w:rsidP="00824FB5">
      <w:pPr>
        <w:pStyle w:val="NormalWeb"/>
        <w:numPr>
          <w:ilvl w:val="0"/>
          <w:numId w:val="39"/>
        </w:numPr>
      </w:pPr>
      <w:r>
        <w:t>Final approval authority is delegated to the Executive Committee once legal revisions are complete.</w:t>
      </w:r>
    </w:p>
    <w:p w14:paraId="590C10E2" w14:textId="77777777" w:rsidR="00824FB5" w:rsidRDefault="00824FB5" w:rsidP="00824FB5">
      <w:pPr>
        <w:pStyle w:val="NormalWeb"/>
        <w:numPr>
          <w:ilvl w:val="0"/>
          <w:numId w:val="39"/>
        </w:numPr>
      </w:pPr>
      <w:r>
        <w:t>Contract must include:</w:t>
      </w:r>
      <w:r>
        <w:br/>
        <w:t>o 30-day written termination clause</w:t>
      </w:r>
      <w:r>
        <w:br/>
        <w:t>o Designation of Patrick and Abby as CIRTA’s assigned representatives</w:t>
      </w:r>
    </w:p>
    <w:p w14:paraId="3EF0A23E" w14:textId="77777777" w:rsidR="00824FB5" w:rsidRDefault="00824FB5" w:rsidP="00824FB5">
      <w:pPr>
        <w:pStyle w:val="NormalWeb"/>
        <w:numPr>
          <w:ilvl w:val="0"/>
          <w:numId w:val="39"/>
        </w:numPr>
      </w:pPr>
      <w:r>
        <w:t>Approval ensures uninterrupted representation through the upcoming legislative session.</w:t>
      </w:r>
    </w:p>
    <w:p w14:paraId="308CECD5" w14:textId="78FB36D2" w:rsidR="00824FB5" w:rsidRDefault="00824FB5" w:rsidP="00824FB5">
      <w:pPr>
        <w:pStyle w:val="NormalWeb"/>
      </w:pPr>
      <w:r>
        <w:rPr>
          <w:rStyle w:val="Strong"/>
        </w:rPr>
        <w:t>Motion to amend approved by (roll call “aye” votes):</w:t>
      </w:r>
      <w:r>
        <w:t xml:space="preserve"> Jerry, Destiny, Linda, Larry, Don, Christine, Joe, Ron, Suzanne, Mike, Andrew, Kylen</w:t>
      </w:r>
      <w:r w:rsidR="00C20C3A">
        <w:t>e</w:t>
      </w:r>
      <w:r>
        <w:t>, Brooke.</w:t>
      </w:r>
      <w:r>
        <w:br/>
        <w:t>No “no” votes were recorded.</w:t>
      </w:r>
    </w:p>
    <w:p w14:paraId="296665B9" w14:textId="77777777" w:rsidR="00824FB5" w:rsidRDefault="00000000" w:rsidP="00824FB5">
      <w:r>
        <w:pict w14:anchorId="61398CAE">
          <v:rect id="_x0000_i1033" style="width:0;height:1.5pt" o:hralign="center" o:hrstd="t" o:hr="t" fillcolor="#a0a0a0" stroked="f"/>
        </w:pict>
      </w:r>
    </w:p>
    <w:p w14:paraId="5859227A" w14:textId="77777777" w:rsidR="00824FB5" w:rsidRPr="00280580" w:rsidRDefault="00824FB5" w:rsidP="00824FB5">
      <w:pPr>
        <w:pStyle w:val="Heading3"/>
        <w:rPr>
          <w:rFonts w:ascii="Times New Roman" w:hAnsi="Times New Roman" w:cs="Times New Roman"/>
          <w:color w:val="2F5496" w:themeColor="accent1" w:themeShade="BF"/>
        </w:rPr>
      </w:pPr>
      <w:r w:rsidRPr="00280580">
        <w:rPr>
          <w:rStyle w:val="Strong"/>
          <w:rFonts w:ascii="Times New Roman" w:hAnsi="Times New Roman" w:cs="Times New Roman"/>
          <w:b w:val="0"/>
          <w:bCs w:val="0"/>
          <w:color w:val="2F5496" w:themeColor="accent1" w:themeShade="BF"/>
        </w:rPr>
        <w:t>Resolution 2025-12-09-05 – Public Transportation Agency Safety Plan (PTASP)</w:t>
      </w:r>
    </w:p>
    <w:p w14:paraId="6E8C8BF7" w14:textId="331C7126" w:rsidR="00824FB5" w:rsidRDefault="00824FB5" w:rsidP="00824FB5">
      <w:pPr>
        <w:pStyle w:val="NormalWeb"/>
      </w:pPr>
      <w:r>
        <w:t xml:space="preserve">• Jennifer reported that updates to CIRTA’s PTASP were required as part of the FTA Triennial Review corrective actions. CIRTA previously had a 2020 plan, but federal requirements changed, necessitating a revised standalone plan and formal Board adoption. A Safety Committee was established consisting of Jennifer, Amanda, Chris, two Go Express representatives, and one </w:t>
      </w:r>
      <w:r w:rsidR="002F777E">
        <w:t>CI</w:t>
      </w:r>
      <w:r w:rsidR="00884ABE">
        <w:t>COA</w:t>
      </w:r>
      <w:r>
        <w:t xml:space="preserve"> representative to oversee safety procedures and compliance.</w:t>
      </w:r>
      <w:r>
        <w:br/>
        <w:t>• Philip noted minor formatting and procedural updates, including removal of individual signature pages, since Board approval serves as official adoption. No substantive content changes were made after packet distribution.</w:t>
      </w:r>
      <w:r>
        <w:br/>
        <w:t>• Jennifer confirmed the approved PTASP and resolution must be submitted to FTA to close remaining audit items. No Board concerns or amendments were raised.</w:t>
      </w:r>
    </w:p>
    <w:p w14:paraId="20E28748" w14:textId="5BD5181B" w:rsidR="00824FB5" w:rsidRDefault="00824FB5" w:rsidP="00824FB5">
      <w:pPr>
        <w:pStyle w:val="NormalWeb"/>
      </w:pPr>
      <w:r>
        <w:rPr>
          <w:rStyle w:val="Strong"/>
        </w:rPr>
        <w:t>Motion to approve:</w:t>
      </w:r>
      <w:r>
        <w:t xml:space="preserve"> Joe</w:t>
      </w:r>
      <w:r w:rsidR="002F777E">
        <w:t xml:space="preserve">  </w:t>
      </w:r>
      <w:r>
        <w:rPr>
          <w:rStyle w:val="Strong"/>
        </w:rPr>
        <w:t>Second:</w:t>
      </w:r>
      <w:r>
        <w:t xml:space="preserve"> Linda</w:t>
      </w:r>
      <w:r>
        <w:br/>
      </w:r>
      <w:r>
        <w:rPr>
          <w:rStyle w:val="Strong"/>
        </w:rPr>
        <w:t>Roll Call Vote – Ayes:</w:t>
      </w:r>
      <w:r>
        <w:t xml:space="preserve"> Jerry, Destiny, Linda, Larry, Don, Christine, Joe, Ron, Suzanne, Mike, Andrew, Kylen</w:t>
      </w:r>
      <w:r w:rsidR="00C20C3A">
        <w:t>e</w:t>
      </w:r>
      <w:r>
        <w:t>, Brooke</w:t>
      </w:r>
      <w:r>
        <w:br/>
      </w:r>
      <w:r>
        <w:rPr>
          <w:rStyle w:val="Strong"/>
        </w:rPr>
        <w:t>Nays:</w:t>
      </w:r>
      <w:r>
        <w:t xml:space="preserve"> None | </w:t>
      </w:r>
      <w:r>
        <w:rPr>
          <w:rStyle w:val="Strong"/>
        </w:rPr>
        <w:t>Abstentions:</w:t>
      </w:r>
      <w:r>
        <w:t xml:space="preserve"> None</w:t>
      </w:r>
      <w:r>
        <w:br/>
      </w:r>
      <w:r>
        <w:rPr>
          <w:rStyle w:val="Strong"/>
        </w:rPr>
        <w:t>Result:</w:t>
      </w:r>
      <w:r>
        <w:t xml:space="preserve"> Motion passed unanimously.</w:t>
      </w:r>
    </w:p>
    <w:p w14:paraId="2D6C9512" w14:textId="77777777" w:rsidR="00824FB5" w:rsidRDefault="00000000" w:rsidP="00824FB5">
      <w:r>
        <w:pict w14:anchorId="77D6DF00">
          <v:rect id="_x0000_i1034" style="width:0;height:1.5pt" o:hralign="center" o:hrstd="t" o:hr="t" fillcolor="#a0a0a0" stroked="f"/>
        </w:pict>
      </w:r>
    </w:p>
    <w:p w14:paraId="399FAB0E" w14:textId="77777777" w:rsidR="00824FB5" w:rsidRPr="00280580" w:rsidRDefault="00824FB5" w:rsidP="00824FB5">
      <w:pPr>
        <w:pStyle w:val="Heading3"/>
        <w:rPr>
          <w:rFonts w:ascii="Times New Roman" w:hAnsi="Times New Roman" w:cs="Times New Roman"/>
          <w:color w:val="2F5496" w:themeColor="accent1" w:themeShade="BF"/>
        </w:rPr>
      </w:pPr>
      <w:r w:rsidRPr="00280580">
        <w:rPr>
          <w:rStyle w:val="Strong"/>
          <w:rFonts w:ascii="Times New Roman" w:hAnsi="Times New Roman" w:cs="Times New Roman"/>
          <w:b w:val="0"/>
          <w:bCs w:val="0"/>
          <w:color w:val="2F5496" w:themeColor="accent1" w:themeShade="BF"/>
        </w:rPr>
        <w:lastRenderedPageBreak/>
        <w:t>Resolution 2025-12-09-06 – Website Support Contract</w:t>
      </w:r>
    </w:p>
    <w:p w14:paraId="3D7217EB" w14:textId="77777777" w:rsidR="00824FB5" w:rsidRDefault="00824FB5" w:rsidP="00824FB5">
      <w:pPr>
        <w:pStyle w:val="NormalWeb"/>
      </w:pPr>
      <w:r>
        <w:t xml:space="preserve">Jennifer presented the results of CIRTA’s request for quotes from three website support providers. Inspire Marketing, an Indianapolis-based firm, submitted the most competitive proposal with strong references, including positive feedback from Taste of Indiana. The proposed 2026 contract is </w:t>
      </w:r>
      <w:r>
        <w:rPr>
          <w:rStyle w:val="Strong"/>
        </w:rPr>
        <w:t>not to exceed $14,000</w:t>
      </w:r>
      <w:r>
        <w:t xml:space="preserve"> and aligns with CIRTA’s operational needs and budget.</w:t>
      </w:r>
      <w:r>
        <w:br/>
        <w:t>No concerns or amendments were raised by Board members.</w:t>
      </w:r>
    </w:p>
    <w:p w14:paraId="5D0C786C" w14:textId="486B4E2C" w:rsidR="00824FB5" w:rsidRDefault="00824FB5" w:rsidP="00824FB5">
      <w:pPr>
        <w:pStyle w:val="NormalWeb"/>
      </w:pPr>
      <w:r w:rsidRPr="00C20C3A">
        <w:rPr>
          <w:rStyle w:val="Strong"/>
        </w:rPr>
        <w:t>Motion to approve:</w:t>
      </w:r>
      <w:r w:rsidRPr="00C20C3A">
        <w:t xml:space="preserve"> Larry</w:t>
      </w:r>
      <w:r w:rsidR="002F777E">
        <w:t xml:space="preserve">  </w:t>
      </w:r>
      <w:r w:rsidRPr="00C20C3A">
        <w:rPr>
          <w:rStyle w:val="Strong"/>
        </w:rPr>
        <w:t>Second:</w:t>
      </w:r>
      <w:r w:rsidRPr="00C20C3A">
        <w:t xml:space="preserve"> Don</w:t>
      </w:r>
      <w:r w:rsidRPr="00C20C3A">
        <w:br/>
      </w:r>
      <w:r w:rsidRPr="00C20C3A">
        <w:rPr>
          <w:rStyle w:val="Strong"/>
        </w:rPr>
        <w:t>Roll Call Vote – Ayes:</w:t>
      </w:r>
      <w:r w:rsidRPr="00C20C3A">
        <w:t xml:space="preserve"> Jerry, Destiny, Linda, Larry, Don, Christine, Joe, Ron, Suzanne, Mike, Andrew, Kylen</w:t>
      </w:r>
      <w:r w:rsidR="00C20C3A" w:rsidRPr="00C20C3A">
        <w:t>e</w:t>
      </w:r>
      <w:r w:rsidRPr="00C20C3A">
        <w:t>, Brooke</w:t>
      </w:r>
      <w:r w:rsidRPr="00C20C3A">
        <w:br/>
      </w:r>
      <w:r w:rsidRPr="00C20C3A">
        <w:rPr>
          <w:rStyle w:val="Strong"/>
        </w:rPr>
        <w:t>Nays:</w:t>
      </w:r>
      <w:r w:rsidRPr="00C20C3A">
        <w:t xml:space="preserve"> None | </w:t>
      </w:r>
      <w:r w:rsidRPr="00C20C3A">
        <w:rPr>
          <w:rStyle w:val="Strong"/>
        </w:rPr>
        <w:t>Abstentions:</w:t>
      </w:r>
      <w:r w:rsidRPr="00C20C3A">
        <w:t xml:space="preserve"> None</w:t>
      </w:r>
      <w:r>
        <w:br/>
      </w:r>
      <w:r>
        <w:rPr>
          <w:rStyle w:val="Strong"/>
        </w:rPr>
        <w:t>Result:</w:t>
      </w:r>
      <w:r>
        <w:t xml:space="preserve"> Motion passed unanimously.</w:t>
      </w:r>
    </w:p>
    <w:p w14:paraId="4274B036" w14:textId="77777777" w:rsidR="00824FB5" w:rsidRDefault="00000000" w:rsidP="00824FB5">
      <w:r>
        <w:pict w14:anchorId="09360381">
          <v:rect id="_x0000_i1035" style="width:0;height:1.5pt" o:hralign="center" o:hrstd="t" o:hr="t" fillcolor="#a0a0a0" stroked="f"/>
        </w:pict>
      </w:r>
    </w:p>
    <w:p w14:paraId="1198CD74" w14:textId="77777777" w:rsidR="00824FB5" w:rsidRPr="00280580" w:rsidRDefault="00824FB5" w:rsidP="00824FB5">
      <w:pPr>
        <w:pStyle w:val="Heading3"/>
        <w:rPr>
          <w:rFonts w:ascii="Times New Roman" w:hAnsi="Times New Roman" w:cs="Times New Roman"/>
          <w:color w:val="2F5496" w:themeColor="accent1" w:themeShade="BF"/>
        </w:rPr>
      </w:pPr>
      <w:r w:rsidRPr="00280580">
        <w:rPr>
          <w:rStyle w:val="Strong"/>
          <w:rFonts w:ascii="Times New Roman" w:hAnsi="Times New Roman" w:cs="Times New Roman"/>
          <w:b w:val="0"/>
          <w:bCs w:val="0"/>
          <w:color w:val="2F5496" w:themeColor="accent1" w:themeShade="BF"/>
        </w:rPr>
        <w:t>Resolution 2025-12-09-07 – American Structurepoint Contract</w:t>
      </w:r>
    </w:p>
    <w:p w14:paraId="2E0E99B5" w14:textId="77777777" w:rsidR="00824FB5" w:rsidRDefault="00824FB5" w:rsidP="00824FB5">
      <w:pPr>
        <w:pStyle w:val="NormalWeb"/>
      </w:pPr>
      <w:r>
        <w:t>• Jennifer recommended renewing CIRTA’s contract with American Structurepoint to retain Philip’s technical and mobility management support services.</w:t>
      </w:r>
      <w:r>
        <w:br/>
        <w:t xml:space="preserve">• The contract terms remain unchanged from 2025, with a </w:t>
      </w:r>
      <w:r>
        <w:rPr>
          <w:rStyle w:val="Strong"/>
        </w:rPr>
        <w:t>not-to-exceed amount of $60,000</w:t>
      </w:r>
      <w:r>
        <w:t xml:space="preserve"> for 2026. Jennifer, Amanda, and Chris noted the high value of Philip’s expertise and ongoing support. No questions or concerns were raised.</w:t>
      </w:r>
    </w:p>
    <w:p w14:paraId="012B81EF" w14:textId="1FF8654B" w:rsidR="00824FB5" w:rsidRDefault="00824FB5" w:rsidP="00824FB5">
      <w:pPr>
        <w:pStyle w:val="NormalWeb"/>
      </w:pPr>
      <w:r>
        <w:rPr>
          <w:rStyle w:val="Strong"/>
        </w:rPr>
        <w:t>Motion to approve:</w:t>
      </w:r>
      <w:r>
        <w:t xml:space="preserve"> Andrew</w:t>
      </w:r>
      <w:r w:rsidR="002F777E">
        <w:t xml:space="preserve">  </w:t>
      </w:r>
      <w:r>
        <w:rPr>
          <w:rStyle w:val="Strong"/>
        </w:rPr>
        <w:t>Second:</w:t>
      </w:r>
      <w:r>
        <w:t xml:space="preserve"> </w:t>
      </w:r>
      <w:r w:rsidR="00136E4D">
        <w:t>Des</w:t>
      </w:r>
      <w:r w:rsidR="00101652">
        <w:t>tiny</w:t>
      </w:r>
      <w:r>
        <w:br/>
      </w:r>
      <w:r>
        <w:rPr>
          <w:rStyle w:val="Strong"/>
        </w:rPr>
        <w:t>Roll Call Vote – Ayes:</w:t>
      </w:r>
      <w:r>
        <w:t xml:space="preserve"> Jerry, Destin</w:t>
      </w:r>
      <w:r w:rsidR="00C20C3A">
        <w:t>y</w:t>
      </w:r>
      <w:r>
        <w:t>, Linda, Larry, Don, Christine, Joe, Ron, Suzanne, Mike, Andrew, Kylen</w:t>
      </w:r>
      <w:r w:rsidR="002F777E">
        <w:t>e</w:t>
      </w:r>
      <w:r>
        <w:t>, Brooke</w:t>
      </w:r>
      <w:r>
        <w:br/>
      </w:r>
      <w:r>
        <w:rPr>
          <w:rStyle w:val="Strong"/>
        </w:rPr>
        <w:t>Nays:</w:t>
      </w:r>
      <w:r>
        <w:t xml:space="preserve"> None | </w:t>
      </w:r>
      <w:r>
        <w:rPr>
          <w:rStyle w:val="Strong"/>
        </w:rPr>
        <w:t>Abstentions:</w:t>
      </w:r>
      <w:r>
        <w:t xml:space="preserve"> None</w:t>
      </w:r>
      <w:r>
        <w:br/>
      </w:r>
      <w:r>
        <w:rPr>
          <w:rStyle w:val="Strong"/>
        </w:rPr>
        <w:t>Result:</w:t>
      </w:r>
      <w:r>
        <w:t xml:space="preserve"> Motion passed unanimously.</w:t>
      </w:r>
    </w:p>
    <w:p w14:paraId="7D2464BE" w14:textId="77777777" w:rsidR="00824FB5" w:rsidRDefault="00000000" w:rsidP="00824FB5">
      <w:r>
        <w:pict w14:anchorId="7831331E">
          <v:rect id="_x0000_i1036" style="width:0;height:1.5pt" o:hralign="center" o:hrstd="t" o:hr="t" fillcolor="#a0a0a0" stroked="f"/>
        </w:pict>
      </w:r>
    </w:p>
    <w:p w14:paraId="7839D2B2" w14:textId="77777777" w:rsidR="00824FB5" w:rsidRPr="00280580" w:rsidRDefault="00824FB5" w:rsidP="00824FB5">
      <w:pPr>
        <w:pStyle w:val="Heading1"/>
        <w:rPr>
          <w:rFonts w:ascii="Times New Roman" w:hAnsi="Times New Roman" w:cs="Times New Roman"/>
          <w:sz w:val="24"/>
          <w:szCs w:val="24"/>
        </w:rPr>
      </w:pPr>
      <w:r w:rsidRPr="00280580">
        <w:rPr>
          <w:rStyle w:val="Strong"/>
          <w:rFonts w:ascii="Times New Roman" w:hAnsi="Times New Roman" w:cs="Times New Roman"/>
          <w:b w:val="0"/>
          <w:bCs w:val="0"/>
          <w:sz w:val="24"/>
          <w:szCs w:val="24"/>
        </w:rPr>
        <w:t>Legislative Update – Patrick &amp; Abby</w:t>
      </w:r>
    </w:p>
    <w:p w14:paraId="5D54DDD7" w14:textId="77777777" w:rsidR="00824FB5" w:rsidRDefault="00824FB5" w:rsidP="00824FB5">
      <w:pPr>
        <w:pStyle w:val="NormalWeb"/>
      </w:pPr>
      <w:r>
        <w:t xml:space="preserve">• Patrick reported that the General Assembly is already active with committee hearings and redistricting discussions. The legislative session will move quickly and is expected to conclude by </w:t>
      </w:r>
      <w:r>
        <w:rPr>
          <w:rStyle w:val="Strong"/>
        </w:rPr>
        <w:t>March 1</w:t>
      </w:r>
      <w:r>
        <w:t>, with no mid-session break. Minor adjustments (“fixes”) to Senate Bill 1 may be introduced, though expectations should remain modest. One bill related to the Central Indiana Public Transportation LIT has been filed, and CIRTA will continue monitoring it.</w:t>
      </w:r>
      <w:r>
        <w:br/>
        <w:t>• Abby noted that bill filing is ongoing and that CIRTA will distribute weekly tracking updates. Both emphasized that the accelerated timeline increases the importance of continuity in CIRTA’s legislative representation.</w:t>
      </w:r>
    </w:p>
    <w:p w14:paraId="1BCF5F98" w14:textId="77777777" w:rsidR="00824FB5" w:rsidRDefault="00824FB5" w:rsidP="00824FB5">
      <w:pPr>
        <w:pStyle w:val="NormalWeb"/>
      </w:pPr>
      <w:r>
        <w:lastRenderedPageBreak/>
        <w:t>No board members had additional legislative questions at this time.</w:t>
      </w:r>
    </w:p>
    <w:p w14:paraId="7D92FF90" w14:textId="77777777" w:rsidR="00824FB5" w:rsidRDefault="00000000" w:rsidP="00824FB5">
      <w:r>
        <w:pict w14:anchorId="1282FC23">
          <v:rect id="_x0000_i1037" style="width:0;height:1.5pt" o:hralign="center" o:hrstd="t" o:hr="t" fillcolor="#a0a0a0" stroked="f"/>
        </w:pict>
      </w:r>
    </w:p>
    <w:p w14:paraId="0B63441B" w14:textId="77777777" w:rsidR="00824FB5" w:rsidRPr="00A42111" w:rsidRDefault="00824FB5" w:rsidP="00824FB5">
      <w:pPr>
        <w:pStyle w:val="Heading1"/>
        <w:rPr>
          <w:rFonts w:ascii="Times New Roman" w:hAnsi="Times New Roman" w:cs="Times New Roman"/>
          <w:sz w:val="24"/>
          <w:szCs w:val="24"/>
        </w:rPr>
      </w:pPr>
      <w:r w:rsidRPr="00A42111">
        <w:rPr>
          <w:rStyle w:val="Strong"/>
          <w:rFonts w:ascii="Times New Roman" w:hAnsi="Times New Roman" w:cs="Times New Roman"/>
          <w:b w:val="0"/>
          <w:bCs w:val="0"/>
          <w:sz w:val="24"/>
          <w:szCs w:val="24"/>
        </w:rPr>
        <w:t>Mobility Management Update – Amanda</w:t>
      </w:r>
    </w:p>
    <w:p w14:paraId="7A387EF8" w14:textId="77777777" w:rsidR="00824FB5" w:rsidRDefault="00824FB5" w:rsidP="00824FB5">
      <w:pPr>
        <w:pStyle w:val="NormalWeb"/>
      </w:pPr>
      <w:r>
        <w:rPr>
          <w:rStyle w:val="Strong"/>
        </w:rPr>
        <w:t>Call Center &amp; Referrals</w:t>
      </w:r>
      <w:r>
        <w:br/>
        <w:t>• October: 119 calls → referrals to 16 partner organizations</w:t>
      </w:r>
      <w:r>
        <w:br/>
        <w:t>• November: 156 calls → referrals to 12 organizations</w:t>
      </w:r>
    </w:p>
    <w:p w14:paraId="646BF504" w14:textId="77777777" w:rsidR="00824FB5" w:rsidRDefault="00824FB5" w:rsidP="00824FB5">
      <w:pPr>
        <w:pStyle w:val="NormalWeb"/>
      </w:pPr>
      <w:r>
        <w:rPr>
          <w:rStyle w:val="Strong"/>
        </w:rPr>
        <w:t>Ridership</w:t>
      </w:r>
      <w:r>
        <w:br/>
        <w:t>• Whitestown:</w:t>
      </w:r>
      <w:r>
        <w:br/>
        <w:t>o Oct: 678 riders</w:t>
      </w:r>
      <w:r>
        <w:br/>
        <w:t>o Nov: 716 riders</w:t>
      </w:r>
      <w:r>
        <w:br/>
        <w:t>• Plainfield:</w:t>
      </w:r>
      <w:r>
        <w:br/>
        <w:t>o Oct: 3,110 riders</w:t>
      </w:r>
      <w:r>
        <w:br/>
        <w:t>o Nov: 2,832 riders</w:t>
      </w:r>
      <w:r>
        <w:br/>
        <w:t>Plainfield is reviewing sustainability of operating both the Connector and the high-use Lyft program.</w:t>
      </w:r>
    </w:p>
    <w:p w14:paraId="1CA37D49" w14:textId="77777777" w:rsidR="00824FB5" w:rsidRDefault="00824FB5" w:rsidP="00824FB5">
      <w:pPr>
        <w:pStyle w:val="NormalWeb"/>
      </w:pPr>
      <w:r>
        <w:rPr>
          <w:rStyle w:val="Strong"/>
        </w:rPr>
        <w:t>HR Roundtable – Whitestown</w:t>
      </w:r>
      <w:r>
        <w:br/>
        <w:t>• CIRTA invited as the first-ever presenter.</w:t>
      </w:r>
      <w:r>
        <w:br/>
        <w:t>• Strong engagement from HR representatives; positive feedback on CIRTA’s impact.</w:t>
      </w:r>
    </w:p>
    <w:p w14:paraId="470A2366" w14:textId="77777777" w:rsidR="00824FB5" w:rsidRDefault="00824FB5" w:rsidP="00824FB5">
      <w:pPr>
        <w:pStyle w:val="NormalWeb"/>
      </w:pPr>
      <w:r>
        <w:rPr>
          <w:rStyle w:val="Strong"/>
        </w:rPr>
        <w:t>My Freedom Program</w:t>
      </w:r>
      <w:r>
        <w:br/>
        <w:t>• Numbers appear lower due to updated program parameters designed to preserve funding and ensure equitable access.</w:t>
      </w:r>
    </w:p>
    <w:p w14:paraId="6AFCDDA3" w14:textId="77777777" w:rsidR="00824FB5" w:rsidRDefault="00824FB5" w:rsidP="00824FB5">
      <w:pPr>
        <w:pStyle w:val="NormalWeb"/>
      </w:pPr>
      <w:r>
        <w:rPr>
          <w:rStyle w:val="Strong"/>
        </w:rPr>
        <w:t>County Connect Pilot</w:t>
      </w:r>
      <w:r>
        <w:br/>
        <w:t>• Steady progress; ongoing coordination with Hamilton County, Hancock County, and Leo’s.</w:t>
      </w:r>
      <w:r>
        <w:br/>
        <w:t>• Training and logistics planning underway.</w:t>
      </w:r>
      <w:r>
        <w:br/>
        <w:t>• MOUs currently circulating for signatures.</w:t>
      </w:r>
    </w:p>
    <w:p w14:paraId="01CFB167" w14:textId="77777777" w:rsidR="00824FB5" w:rsidRDefault="00824FB5" w:rsidP="00824FB5">
      <w:pPr>
        <w:pStyle w:val="NormalWeb"/>
      </w:pPr>
      <w:r>
        <w:rPr>
          <w:rStyle w:val="Strong"/>
        </w:rPr>
        <w:t>Brownsburg Connector Exploration</w:t>
      </w:r>
      <w:r>
        <w:br/>
        <w:t>• Early-stage discussions showed strong local interest.</w:t>
      </w:r>
      <w:r>
        <w:br/>
        <w:t>• Next step: data review, mapping, and feasibility exploration.</w:t>
      </w:r>
    </w:p>
    <w:p w14:paraId="17D56136" w14:textId="77777777" w:rsidR="00824FB5" w:rsidRDefault="00000000" w:rsidP="00824FB5">
      <w:r>
        <w:pict w14:anchorId="460F9678">
          <v:rect id="_x0000_i1038" style="width:0;height:1.5pt" o:hralign="center" o:hrstd="t" o:hr="t" fillcolor="#a0a0a0" stroked="f"/>
        </w:pict>
      </w:r>
    </w:p>
    <w:p w14:paraId="6FFF0F36" w14:textId="77777777" w:rsidR="00824FB5" w:rsidRPr="00280580" w:rsidRDefault="00824FB5" w:rsidP="00824FB5">
      <w:pPr>
        <w:pStyle w:val="Heading1"/>
        <w:rPr>
          <w:rFonts w:ascii="Times New Roman" w:hAnsi="Times New Roman" w:cs="Times New Roman"/>
          <w:sz w:val="24"/>
          <w:szCs w:val="24"/>
        </w:rPr>
      </w:pPr>
      <w:r w:rsidRPr="00280580">
        <w:rPr>
          <w:rStyle w:val="Strong"/>
          <w:rFonts w:ascii="Times New Roman" w:hAnsi="Times New Roman" w:cs="Times New Roman"/>
          <w:b w:val="0"/>
          <w:bCs w:val="0"/>
          <w:sz w:val="24"/>
          <w:szCs w:val="24"/>
        </w:rPr>
        <w:lastRenderedPageBreak/>
        <w:t>Executive Director Update – Jennifer</w:t>
      </w:r>
    </w:p>
    <w:p w14:paraId="26F77D1C" w14:textId="77777777" w:rsidR="00824FB5" w:rsidRDefault="00824FB5" w:rsidP="00824FB5">
      <w:pPr>
        <w:pStyle w:val="NormalWeb"/>
      </w:pPr>
      <w:r>
        <w:rPr>
          <w:rStyle w:val="Strong"/>
        </w:rPr>
        <w:t>Outreach &amp; Materials</w:t>
      </w:r>
      <w:r>
        <w:br/>
        <w:t>• Major update and redistribution of maps and resources to Marion County staffing agencies.</w:t>
      </w:r>
    </w:p>
    <w:p w14:paraId="7F8763A0" w14:textId="77777777" w:rsidR="00824FB5" w:rsidRDefault="00824FB5" w:rsidP="00824FB5">
      <w:pPr>
        <w:pStyle w:val="NormalWeb"/>
      </w:pPr>
      <w:r>
        <w:rPr>
          <w:rStyle w:val="Strong"/>
        </w:rPr>
        <w:t>FTA Triennial Review</w:t>
      </w:r>
      <w:r>
        <w:br/>
        <w:t>• All corrective action items (except the PTASP approval completed today) have been submitted and accepted.</w:t>
      </w:r>
    </w:p>
    <w:p w14:paraId="0805E3C5" w14:textId="606DA37D" w:rsidR="00824FB5" w:rsidRDefault="00824FB5" w:rsidP="00824FB5">
      <w:pPr>
        <w:pStyle w:val="NormalWeb"/>
      </w:pPr>
      <w:r>
        <w:rPr>
          <w:rStyle w:val="Strong"/>
        </w:rPr>
        <w:t>Performance</w:t>
      </w:r>
      <w:r>
        <w:br/>
        <w:t xml:space="preserve">• 367 new commuters added to the database in </w:t>
      </w:r>
      <w:r w:rsidR="00A42111">
        <w:t xml:space="preserve">since October </w:t>
      </w:r>
      <w:r>
        <w:t>2025.</w:t>
      </w:r>
      <w:r>
        <w:br/>
        <w:t xml:space="preserve">• </w:t>
      </w:r>
      <w:r w:rsidR="00A42111">
        <w:t>Only</w:t>
      </w:r>
      <w:r>
        <w:t xml:space="preserve"> 23 profiles </w:t>
      </w:r>
      <w:r w:rsidR="00A42111">
        <w:t>to hit annual</w:t>
      </w:r>
      <w:r>
        <w:t xml:space="preserve"> outreach goals as of Dec. 1.</w:t>
      </w:r>
    </w:p>
    <w:p w14:paraId="64FFACBE" w14:textId="77777777" w:rsidR="00824FB5" w:rsidRDefault="00824FB5" w:rsidP="00824FB5">
      <w:pPr>
        <w:pStyle w:val="NormalWeb"/>
      </w:pPr>
      <w:r>
        <w:rPr>
          <w:rStyle w:val="Strong"/>
        </w:rPr>
        <w:t>Vanpool Program</w:t>
      </w:r>
      <w:r>
        <w:br/>
        <w:t>• 13 active vanpools; 2 temporarily paused but expected to return → potential for 15 in 2026.</w:t>
      </w:r>
    </w:p>
    <w:p w14:paraId="3F92ED5C" w14:textId="77777777" w:rsidR="00824FB5" w:rsidRDefault="00824FB5" w:rsidP="00824FB5">
      <w:pPr>
        <w:pStyle w:val="NormalWeb"/>
      </w:pPr>
      <w:r>
        <w:rPr>
          <w:rStyle w:val="Strong"/>
        </w:rPr>
        <w:t>App Development</w:t>
      </w:r>
      <w:r>
        <w:br/>
        <w:t>• App will allow:</w:t>
      </w:r>
      <w:r>
        <w:br/>
        <w:t>o Digital Emergency Ride Home vouchers</w:t>
      </w:r>
      <w:r>
        <w:br/>
        <w:t>o Integration with Enterprise for vanpool management</w:t>
      </w:r>
      <w:r>
        <w:br/>
        <w:t xml:space="preserve">• Target launch: </w:t>
      </w:r>
      <w:r>
        <w:rPr>
          <w:rStyle w:val="Strong"/>
        </w:rPr>
        <w:t>Q1 2026</w:t>
      </w:r>
    </w:p>
    <w:p w14:paraId="02A8B153" w14:textId="77777777" w:rsidR="00824FB5" w:rsidRDefault="00824FB5" w:rsidP="00824FB5">
      <w:pPr>
        <w:pStyle w:val="NormalWeb"/>
      </w:pPr>
      <w:r>
        <w:rPr>
          <w:rStyle w:val="Strong"/>
        </w:rPr>
        <w:t>Administrative Items</w:t>
      </w:r>
      <w:r>
        <w:br/>
        <w:t>• Partner contributions due end of February.</w:t>
      </w:r>
      <w:r>
        <w:br/>
        <w:t>• 2026 board meeting dates included in packets.</w:t>
      </w:r>
    </w:p>
    <w:p w14:paraId="1CA77AE5" w14:textId="77777777" w:rsidR="00824FB5" w:rsidRDefault="00824FB5" w:rsidP="00824FB5">
      <w:pPr>
        <w:pStyle w:val="NormalWeb"/>
      </w:pPr>
      <w:r>
        <w:rPr>
          <w:rStyle w:val="Strong"/>
        </w:rPr>
        <w:t>Board Appointments</w:t>
      </w:r>
      <w:r>
        <w:br/>
        <w:t>• Three open positions:</w:t>
      </w:r>
      <w:r>
        <w:br/>
        <w:t>o Two Governor-appointed seats</w:t>
      </w:r>
      <w:r>
        <w:br/>
        <w:t>o One municipal appointment (four largest participating municipalities outside Marion County)</w:t>
      </w:r>
      <w:r>
        <w:br/>
        <w:t>• Close to finalizing the municipal appointment; awaiting meeting with Mayor Fadness.</w:t>
      </w:r>
      <w:r>
        <w:br/>
        <w:t>• Governor’s office slow to act on appointments statewide.</w:t>
      </w:r>
    </w:p>
    <w:p w14:paraId="60227071" w14:textId="77777777" w:rsidR="00824FB5" w:rsidRDefault="00000000" w:rsidP="00824FB5">
      <w:r>
        <w:pict w14:anchorId="5F0C4592">
          <v:rect id="_x0000_i1039" style="width:0;height:1.5pt" o:hralign="center" o:hrstd="t" o:hr="t" fillcolor="#a0a0a0" stroked="f"/>
        </w:pict>
      </w:r>
    </w:p>
    <w:p w14:paraId="24409A4F" w14:textId="77777777" w:rsidR="00824FB5" w:rsidRPr="00280580" w:rsidRDefault="00824FB5" w:rsidP="00824FB5">
      <w:pPr>
        <w:pStyle w:val="Heading1"/>
        <w:rPr>
          <w:rFonts w:ascii="Times New Roman" w:hAnsi="Times New Roman" w:cs="Times New Roman"/>
          <w:sz w:val="24"/>
          <w:szCs w:val="24"/>
        </w:rPr>
      </w:pPr>
      <w:r w:rsidRPr="00280580">
        <w:rPr>
          <w:rStyle w:val="Strong"/>
          <w:rFonts w:ascii="Times New Roman" w:hAnsi="Times New Roman" w:cs="Times New Roman"/>
          <w:b w:val="0"/>
          <w:bCs w:val="0"/>
          <w:sz w:val="24"/>
          <w:szCs w:val="24"/>
        </w:rPr>
        <w:t>Open Discussion</w:t>
      </w:r>
    </w:p>
    <w:p w14:paraId="5D6C9AD2" w14:textId="77777777" w:rsidR="00824FB5" w:rsidRDefault="00824FB5" w:rsidP="00824FB5">
      <w:pPr>
        <w:pStyle w:val="NormalWeb"/>
      </w:pPr>
      <w:r>
        <w:rPr>
          <w:rStyle w:val="Strong"/>
        </w:rPr>
        <w:t>Board Appointment Challenges</w:t>
      </w:r>
      <w:r>
        <w:br/>
        <w:t>• Statewide delays due to current administrative philosophy on board appointments.</w:t>
      </w:r>
      <w:r>
        <w:br/>
        <w:t>• Local governments anticipating fiscal impacts from Senate Bill 1.</w:t>
      </w:r>
    </w:p>
    <w:p w14:paraId="2A7C4720" w14:textId="77777777" w:rsidR="00824FB5" w:rsidRDefault="00000000" w:rsidP="00824FB5">
      <w:r>
        <w:lastRenderedPageBreak/>
        <w:pict w14:anchorId="74D5D2EB">
          <v:rect id="_x0000_i1040" style="width:0;height:1.5pt" o:hralign="center" o:hrstd="t" o:hr="t" fillcolor="#a0a0a0" stroked="f"/>
        </w:pict>
      </w:r>
    </w:p>
    <w:p w14:paraId="7CC1727C" w14:textId="77777777" w:rsidR="00824FB5" w:rsidRPr="00280580" w:rsidRDefault="00824FB5" w:rsidP="00824FB5">
      <w:pPr>
        <w:pStyle w:val="Heading1"/>
        <w:rPr>
          <w:rFonts w:ascii="Times New Roman" w:hAnsi="Times New Roman" w:cs="Times New Roman"/>
          <w:sz w:val="24"/>
          <w:szCs w:val="24"/>
        </w:rPr>
      </w:pPr>
      <w:r w:rsidRPr="00280580">
        <w:rPr>
          <w:rStyle w:val="Strong"/>
          <w:rFonts w:ascii="Times New Roman" w:hAnsi="Times New Roman" w:cs="Times New Roman"/>
          <w:b w:val="0"/>
          <w:bCs w:val="0"/>
          <w:sz w:val="24"/>
          <w:szCs w:val="24"/>
        </w:rPr>
        <w:t>Adjournment</w:t>
      </w:r>
    </w:p>
    <w:p w14:paraId="2451F36A" w14:textId="77777777" w:rsidR="00824FB5" w:rsidRDefault="00824FB5" w:rsidP="00824FB5">
      <w:pPr>
        <w:pStyle w:val="NormalWeb"/>
      </w:pPr>
      <w:r>
        <w:t>Meeting adjourned by consensus. Board and staff exchanged holiday well-wishes.</w:t>
      </w:r>
    </w:p>
    <w:p w14:paraId="541E8753" w14:textId="77777777" w:rsidR="00591874" w:rsidRPr="00FF3EF2" w:rsidRDefault="00591874" w:rsidP="003D34F2">
      <w:pPr>
        <w:rPr>
          <w:bCs/>
          <w:i/>
          <w:iCs/>
        </w:rPr>
      </w:pPr>
    </w:p>
    <w:sectPr w:rsidR="00591874" w:rsidRPr="00FF3EF2" w:rsidSect="00713C61">
      <w:headerReference w:type="default" r:id="rId11"/>
      <w:footerReference w:type="default" r:id="rId12"/>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5C33" w14:textId="77777777" w:rsidR="00D54444" w:rsidRDefault="00D54444">
      <w:r>
        <w:separator/>
      </w:r>
    </w:p>
  </w:endnote>
  <w:endnote w:type="continuationSeparator" w:id="0">
    <w:p w14:paraId="7AEF05B2" w14:textId="77777777" w:rsidR="00D54444" w:rsidRDefault="00D5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53385"/>
      <w:docPartObj>
        <w:docPartGallery w:val="Page Numbers (Bottom of Page)"/>
        <w:docPartUnique/>
      </w:docPartObj>
    </w:sdtPr>
    <w:sdtEndPr>
      <w:rPr>
        <w:noProof/>
      </w:rPr>
    </w:sdtEndPr>
    <w:sdtContent>
      <w:p w14:paraId="2DBDBCF7" w14:textId="77777777" w:rsidR="00E33E94" w:rsidRDefault="00E33E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70B4C" w14:textId="77777777" w:rsidR="00E33E94" w:rsidRDefault="00E3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486B" w14:textId="77777777" w:rsidR="00D54444" w:rsidRDefault="00D54444">
      <w:r>
        <w:separator/>
      </w:r>
    </w:p>
  </w:footnote>
  <w:footnote w:type="continuationSeparator" w:id="0">
    <w:p w14:paraId="169A4FFB" w14:textId="77777777" w:rsidR="00D54444" w:rsidRDefault="00D5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C6BF" w14:textId="5CA96BB7" w:rsidR="004E2931" w:rsidRDefault="00264CDF" w:rsidP="004E2931">
    <w:pPr>
      <w:pStyle w:val="Header"/>
      <w:jc w:val="center"/>
    </w:pPr>
    <w:r>
      <w:rPr>
        <w:noProof/>
      </w:rPr>
      <w:drawing>
        <wp:inline distT="0" distB="0" distL="0" distR="0" wp14:anchorId="6A963FEB" wp14:editId="211EFE8D">
          <wp:extent cx="2052557" cy="1242060"/>
          <wp:effectExtent l="0" t="0" r="5080" b="0"/>
          <wp:docPr id="1362694014" name="Picture 1" descr="A black background with different colored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94014" name="Picture 1" descr="A black background with different colored logo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397" cy="1244989"/>
                  </a:xfrm>
                  <a:prstGeom prst="rect">
                    <a:avLst/>
                  </a:prstGeom>
                  <a:noFill/>
                  <a:ln>
                    <a:noFill/>
                  </a:ln>
                </pic:spPr>
              </pic:pic>
            </a:graphicData>
          </a:graphic>
        </wp:inline>
      </w:drawing>
    </w:r>
  </w:p>
  <w:p w14:paraId="130063CB" w14:textId="77777777" w:rsidR="004E2931" w:rsidRDefault="004E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804"/>
    <w:multiLevelType w:val="multilevel"/>
    <w:tmpl w:val="FF2E4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19B2"/>
    <w:multiLevelType w:val="multilevel"/>
    <w:tmpl w:val="D7C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6156"/>
    <w:multiLevelType w:val="multilevel"/>
    <w:tmpl w:val="CB28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80F53"/>
    <w:multiLevelType w:val="hybridMultilevel"/>
    <w:tmpl w:val="26D4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B2532"/>
    <w:multiLevelType w:val="multilevel"/>
    <w:tmpl w:val="4E2EC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46B33"/>
    <w:multiLevelType w:val="multilevel"/>
    <w:tmpl w:val="BBF6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41971"/>
    <w:multiLevelType w:val="multilevel"/>
    <w:tmpl w:val="569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80D6A"/>
    <w:multiLevelType w:val="multilevel"/>
    <w:tmpl w:val="75D6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C61A4"/>
    <w:multiLevelType w:val="hybridMultilevel"/>
    <w:tmpl w:val="440C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022C"/>
    <w:multiLevelType w:val="multilevel"/>
    <w:tmpl w:val="010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63420"/>
    <w:multiLevelType w:val="multilevel"/>
    <w:tmpl w:val="E41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C2CBB"/>
    <w:multiLevelType w:val="multilevel"/>
    <w:tmpl w:val="5B8C8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74800"/>
    <w:multiLevelType w:val="multilevel"/>
    <w:tmpl w:val="C1A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314F8"/>
    <w:multiLevelType w:val="multilevel"/>
    <w:tmpl w:val="5F5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F3CC1"/>
    <w:multiLevelType w:val="hybridMultilevel"/>
    <w:tmpl w:val="E560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11619"/>
    <w:multiLevelType w:val="multilevel"/>
    <w:tmpl w:val="F09E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C58A6"/>
    <w:multiLevelType w:val="multilevel"/>
    <w:tmpl w:val="4496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41FB6"/>
    <w:multiLevelType w:val="hybridMultilevel"/>
    <w:tmpl w:val="6ECE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C14AA"/>
    <w:multiLevelType w:val="multilevel"/>
    <w:tmpl w:val="C78A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96813"/>
    <w:multiLevelType w:val="hybridMultilevel"/>
    <w:tmpl w:val="B786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E049F"/>
    <w:multiLevelType w:val="multilevel"/>
    <w:tmpl w:val="D502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161B5"/>
    <w:multiLevelType w:val="multilevel"/>
    <w:tmpl w:val="444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B05DE"/>
    <w:multiLevelType w:val="multilevel"/>
    <w:tmpl w:val="6E9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6436C"/>
    <w:multiLevelType w:val="multilevel"/>
    <w:tmpl w:val="749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44115"/>
    <w:multiLevelType w:val="multilevel"/>
    <w:tmpl w:val="FA66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25C13"/>
    <w:multiLevelType w:val="multilevel"/>
    <w:tmpl w:val="3A5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46F9F"/>
    <w:multiLevelType w:val="multilevel"/>
    <w:tmpl w:val="001A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668A2"/>
    <w:multiLevelType w:val="multilevel"/>
    <w:tmpl w:val="A59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550DD"/>
    <w:multiLevelType w:val="hybridMultilevel"/>
    <w:tmpl w:val="C830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335CD"/>
    <w:multiLevelType w:val="multilevel"/>
    <w:tmpl w:val="76506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007FA"/>
    <w:multiLevelType w:val="multilevel"/>
    <w:tmpl w:val="7F6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46387"/>
    <w:multiLevelType w:val="multilevel"/>
    <w:tmpl w:val="0DA0F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21C37"/>
    <w:multiLevelType w:val="multilevel"/>
    <w:tmpl w:val="2CDE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0C461D"/>
    <w:multiLevelType w:val="multilevel"/>
    <w:tmpl w:val="01044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31907"/>
    <w:multiLevelType w:val="multilevel"/>
    <w:tmpl w:val="C926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F24C7"/>
    <w:multiLevelType w:val="multilevel"/>
    <w:tmpl w:val="1F68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C0AF6"/>
    <w:multiLevelType w:val="multilevel"/>
    <w:tmpl w:val="55B6C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26D7E"/>
    <w:multiLevelType w:val="multilevel"/>
    <w:tmpl w:val="A04A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90DFE"/>
    <w:multiLevelType w:val="multilevel"/>
    <w:tmpl w:val="E8C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356398">
    <w:abstractNumId w:val="12"/>
  </w:num>
  <w:num w:numId="2" w16cid:durableId="487988517">
    <w:abstractNumId w:val="9"/>
  </w:num>
  <w:num w:numId="3" w16cid:durableId="1520465179">
    <w:abstractNumId w:val="23"/>
  </w:num>
  <w:num w:numId="4" w16cid:durableId="2050105598">
    <w:abstractNumId w:val="29"/>
  </w:num>
  <w:num w:numId="5" w16cid:durableId="292759059">
    <w:abstractNumId w:val="38"/>
  </w:num>
  <w:num w:numId="6" w16cid:durableId="3363182">
    <w:abstractNumId w:val="30"/>
  </w:num>
  <w:num w:numId="7" w16cid:durableId="2016304297">
    <w:abstractNumId w:val="15"/>
  </w:num>
  <w:num w:numId="8" w16cid:durableId="1781298503">
    <w:abstractNumId w:val="6"/>
  </w:num>
  <w:num w:numId="9" w16cid:durableId="653215967">
    <w:abstractNumId w:val="35"/>
  </w:num>
  <w:num w:numId="10" w16cid:durableId="1882668231">
    <w:abstractNumId w:val="31"/>
  </w:num>
  <w:num w:numId="11" w16cid:durableId="987437809">
    <w:abstractNumId w:val="32"/>
  </w:num>
  <w:num w:numId="12" w16cid:durableId="1847557325">
    <w:abstractNumId w:val="26"/>
  </w:num>
  <w:num w:numId="13" w16cid:durableId="139420563">
    <w:abstractNumId w:val="1"/>
  </w:num>
  <w:num w:numId="14" w16cid:durableId="234555752">
    <w:abstractNumId w:val="25"/>
  </w:num>
  <w:num w:numId="15" w16cid:durableId="1385061153">
    <w:abstractNumId w:val="7"/>
  </w:num>
  <w:num w:numId="16" w16cid:durableId="593322715">
    <w:abstractNumId w:val="20"/>
  </w:num>
  <w:num w:numId="17" w16cid:durableId="1749112455">
    <w:abstractNumId w:val="22"/>
  </w:num>
  <w:num w:numId="18" w16cid:durableId="479614224">
    <w:abstractNumId w:val="27"/>
  </w:num>
  <w:num w:numId="19" w16cid:durableId="2109541990">
    <w:abstractNumId w:val="4"/>
  </w:num>
  <w:num w:numId="20" w16cid:durableId="1240211758">
    <w:abstractNumId w:val="10"/>
  </w:num>
  <w:num w:numId="21" w16cid:durableId="1255166081">
    <w:abstractNumId w:val="5"/>
  </w:num>
  <w:num w:numId="22" w16cid:durableId="1703481876">
    <w:abstractNumId w:val="13"/>
  </w:num>
  <w:num w:numId="23" w16cid:durableId="2126995649">
    <w:abstractNumId w:val="37"/>
  </w:num>
  <w:num w:numId="24" w16cid:durableId="218564892">
    <w:abstractNumId w:val="19"/>
  </w:num>
  <w:num w:numId="25" w16cid:durableId="644820772">
    <w:abstractNumId w:val="14"/>
  </w:num>
  <w:num w:numId="26" w16cid:durableId="1101948942">
    <w:abstractNumId w:val="8"/>
  </w:num>
  <w:num w:numId="27" w16cid:durableId="2090542865">
    <w:abstractNumId w:val="21"/>
  </w:num>
  <w:num w:numId="28" w16cid:durableId="1047608786">
    <w:abstractNumId w:val="0"/>
  </w:num>
  <w:num w:numId="29" w16cid:durableId="525027598">
    <w:abstractNumId w:val="36"/>
  </w:num>
  <w:num w:numId="30" w16cid:durableId="2071608025">
    <w:abstractNumId w:val="34"/>
  </w:num>
  <w:num w:numId="31" w16cid:durableId="739450717">
    <w:abstractNumId w:val="24"/>
  </w:num>
  <w:num w:numId="32" w16cid:durableId="784345525">
    <w:abstractNumId w:val="33"/>
  </w:num>
  <w:num w:numId="33" w16cid:durableId="1056316144">
    <w:abstractNumId w:val="16"/>
  </w:num>
  <w:num w:numId="34" w16cid:durableId="1637569859">
    <w:abstractNumId w:val="11"/>
  </w:num>
  <w:num w:numId="35" w16cid:durableId="219175705">
    <w:abstractNumId w:val="3"/>
  </w:num>
  <w:num w:numId="36" w16cid:durableId="633950305">
    <w:abstractNumId w:val="28"/>
  </w:num>
  <w:num w:numId="37" w16cid:durableId="939221539">
    <w:abstractNumId w:val="17"/>
  </w:num>
  <w:num w:numId="38" w16cid:durableId="1052540365">
    <w:abstractNumId w:val="2"/>
  </w:num>
  <w:num w:numId="39" w16cid:durableId="51689314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3B"/>
    <w:rsid w:val="00001876"/>
    <w:rsid w:val="00004D3C"/>
    <w:rsid w:val="00007E8B"/>
    <w:rsid w:val="000113B4"/>
    <w:rsid w:val="000129C3"/>
    <w:rsid w:val="000170D3"/>
    <w:rsid w:val="00017D4B"/>
    <w:rsid w:val="00022410"/>
    <w:rsid w:val="0003141B"/>
    <w:rsid w:val="00033321"/>
    <w:rsid w:val="00035800"/>
    <w:rsid w:val="00035A4E"/>
    <w:rsid w:val="0003651F"/>
    <w:rsid w:val="000371E1"/>
    <w:rsid w:val="00042040"/>
    <w:rsid w:val="00042C86"/>
    <w:rsid w:val="00046F3A"/>
    <w:rsid w:val="00055491"/>
    <w:rsid w:val="000554EE"/>
    <w:rsid w:val="00056744"/>
    <w:rsid w:val="00057DAB"/>
    <w:rsid w:val="00057FBA"/>
    <w:rsid w:val="000611FE"/>
    <w:rsid w:val="00063FF6"/>
    <w:rsid w:val="0007057E"/>
    <w:rsid w:val="00070DD3"/>
    <w:rsid w:val="000771FF"/>
    <w:rsid w:val="000804F6"/>
    <w:rsid w:val="00083D4A"/>
    <w:rsid w:val="00091069"/>
    <w:rsid w:val="00092CE9"/>
    <w:rsid w:val="00094135"/>
    <w:rsid w:val="000A1226"/>
    <w:rsid w:val="000A7253"/>
    <w:rsid w:val="000B1890"/>
    <w:rsid w:val="000B6D0C"/>
    <w:rsid w:val="000C05D4"/>
    <w:rsid w:val="000C1485"/>
    <w:rsid w:val="000C1D5E"/>
    <w:rsid w:val="000C2D0F"/>
    <w:rsid w:val="000C5CD7"/>
    <w:rsid w:val="000D0DA9"/>
    <w:rsid w:val="000D2B0A"/>
    <w:rsid w:val="000D5CA9"/>
    <w:rsid w:val="000D5CDE"/>
    <w:rsid w:val="000E20B8"/>
    <w:rsid w:val="000E20D2"/>
    <w:rsid w:val="000E4B36"/>
    <w:rsid w:val="000E74D4"/>
    <w:rsid w:val="000F3B3F"/>
    <w:rsid w:val="000F57ED"/>
    <w:rsid w:val="00100401"/>
    <w:rsid w:val="00101652"/>
    <w:rsid w:val="00106E65"/>
    <w:rsid w:val="00112837"/>
    <w:rsid w:val="00113833"/>
    <w:rsid w:val="0011568F"/>
    <w:rsid w:val="0011578C"/>
    <w:rsid w:val="0011722E"/>
    <w:rsid w:val="00117662"/>
    <w:rsid w:val="001214E4"/>
    <w:rsid w:val="00125D48"/>
    <w:rsid w:val="00131AAA"/>
    <w:rsid w:val="00132BA2"/>
    <w:rsid w:val="00135633"/>
    <w:rsid w:val="00136E4D"/>
    <w:rsid w:val="0014208C"/>
    <w:rsid w:val="001449D8"/>
    <w:rsid w:val="00145232"/>
    <w:rsid w:val="001465CF"/>
    <w:rsid w:val="00146B21"/>
    <w:rsid w:val="001501AD"/>
    <w:rsid w:val="00151D54"/>
    <w:rsid w:val="001537FF"/>
    <w:rsid w:val="00162B0D"/>
    <w:rsid w:val="00165ADC"/>
    <w:rsid w:val="00167362"/>
    <w:rsid w:val="00170C53"/>
    <w:rsid w:val="00173EDA"/>
    <w:rsid w:val="00176652"/>
    <w:rsid w:val="00180151"/>
    <w:rsid w:val="0018113D"/>
    <w:rsid w:val="00182430"/>
    <w:rsid w:val="00184016"/>
    <w:rsid w:val="001851DB"/>
    <w:rsid w:val="0018587B"/>
    <w:rsid w:val="00186B11"/>
    <w:rsid w:val="00192E18"/>
    <w:rsid w:val="00193866"/>
    <w:rsid w:val="00194FED"/>
    <w:rsid w:val="001951D3"/>
    <w:rsid w:val="00196586"/>
    <w:rsid w:val="00197817"/>
    <w:rsid w:val="001A514A"/>
    <w:rsid w:val="001A55F0"/>
    <w:rsid w:val="001A61B4"/>
    <w:rsid w:val="001B1303"/>
    <w:rsid w:val="001B3221"/>
    <w:rsid w:val="001B7F81"/>
    <w:rsid w:val="001C11CE"/>
    <w:rsid w:val="001C3607"/>
    <w:rsid w:val="001C4662"/>
    <w:rsid w:val="001C5953"/>
    <w:rsid w:val="001C72BB"/>
    <w:rsid w:val="001D549B"/>
    <w:rsid w:val="001E1E94"/>
    <w:rsid w:val="001E5FD6"/>
    <w:rsid w:val="001E6895"/>
    <w:rsid w:val="001E7D71"/>
    <w:rsid w:val="001F5DCC"/>
    <w:rsid w:val="0020790D"/>
    <w:rsid w:val="00210A00"/>
    <w:rsid w:val="0021385F"/>
    <w:rsid w:val="00214B23"/>
    <w:rsid w:val="002160AF"/>
    <w:rsid w:val="00221EB7"/>
    <w:rsid w:val="00221F89"/>
    <w:rsid w:val="002418F3"/>
    <w:rsid w:val="002478ED"/>
    <w:rsid w:val="00251ED8"/>
    <w:rsid w:val="002525DB"/>
    <w:rsid w:val="002532BC"/>
    <w:rsid w:val="00254638"/>
    <w:rsid w:val="002548BE"/>
    <w:rsid w:val="00257115"/>
    <w:rsid w:val="0025731A"/>
    <w:rsid w:val="00257D63"/>
    <w:rsid w:val="00264CDF"/>
    <w:rsid w:val="0027143A"/>
    <w:rsid w:val="0027649B"/>
    <w:rsid w:val="00280580"/>
    <w:rsid w:val="00282CF8"/>
    <w:rsid w:val="00283CC0"/>
    <w:rsid w:val="00290D36"/>
    <w:rsid w:val="0029130D"/>
    <w:rsid w:val="00291362"/>
    <w:rsid w:val="002A1EA6"/>
    <w:rsid w:val="002A1F97"/>
    <w:rsid w:val="002A5BD7"/>
    <w:rsid w:val="002A7003"/>
    <w:rsid w:val="002B2E9E"/>
    <w:rsid w:val="002B42DF"/>
    <w:rsid w:val="002C58EF"/>
    <w:rsid w:val="002D0ED7"/>
    <w:rsid w:val="002D13C5"/>
    <w:rsid w:val="002D16F3"/>
    <w:rsid w:val="002E1955"/>
    <w:rsid w:val="002F0B70"/>
    <w:rsid w:val="002F232E"/>
    <w:rsid w:val="002F3353"/>
    <w:rsid w:val="002F36A6"/>
    <w:rsid w:val="002F3DDD"/>
    <w:rsid w:val="002F491A"/>
    <w:rsid w:val="002F4A08"/>
    <w:rsid w:val="002F59AF"/>
    <w:rsid w:val="002F615C"/>
    <w:rsid w:val="002F777E"/>
    <w:rsid w:val="002F77E1"/>
    <w:rsid w:val="003006DA"/>
    <w:rsid w:val="00320631"/>
    <w:rsid w:val="00321A09"/>
    <w:rsid w:val="0032604F"/>
    <w:rsid w:val="00326CDF"/>
    <w:rsid w:val="00331896"/>
    <w:rsid w:val="00332F7C"/>
    <w:rsid w:val="00342096"/>
    <w:rsid w:val="003506BE"/>
    <w:rsid w:val="003537E2"/>
    <w:rsid w:val="00357DED"/>
    <w:rsid w:val="00362AE1"/>
    <w:rsid w:val="003655B5"/>
    <w:rsid w:val="0036660B"/>
    <w:rsid w:val="00367FAC"/>
    <w:rsid w:val="00377BE7"/>
    <w:rsid w:val="00387675"/>
    <w:rsid w:val="00390B9D"/>
    <w:rsid w:val="00391ABD"/>
    <w:rsid w:val="00393659"/>
    <w:rsid w:val="003968A0"/>
    <w:rsid w:val="003A2009"/>
    <w:rsid w:val="003A6D86"/>
    <w:rsid w:val="003B3622"/>
    <w:rsid w:val="003B5FDC"/>
    <w:rsid w:val="003B71D1"/>
    <w:rsid w:val="003B783D"/>
    <w:rsid w:val="003C25E7"/>
    <w:rsid w:val="003C2C54"/>
    <w:rsid w:val="003C5F48"/>
    <w:rsid w:val="003D0202"/>
    <w:rsid w:val="003D1F01"/>
    <w:rsid w:val="003D2DA0"/>
    <w:rsid w:val="003D34F2"/>
    <w:rsid w:val="003D43D3"/>
    <w:rsid w:val="003D6BD6"/>
    <w:rsid w:val="003E21C6"/>
    <w:rsid w:val="003E52E9"/>
    <w:rsid w:val="003F1524"/>
    <w:rsid w:val="003F2AAC"/>
    <w:rsid w:val="003F6BFF"/>
    <w:rsid w:val="004004AD"/>
    <w:rsid w:val="00402D66"/>
    <w:rsid w:val="00405D2D"/>
    <w:rsid w:val="00406668"/>
    <w:rsid w:val="0041102D"/>
    <w:rsid w:val="0041106F"/>
    <w:rsid w:val="004215E0"/>
    <w:rsid w:val="00426C61"/>
    <w:rsid w:val="00427647"/>
    <w:rsid w:val="0043024C"/>
    <w:rsid w:val="0043110C"/>
    <w:rsid w:val="00434B50"/>
    <w:rsid w:val="0043718A"/>
    <w:rsid w:val="00437D8C"/>
    <w:rsid w:val="00441FD2"/>
    <w:rsid w:val="00443E45"/>
    <w:rsid w:val="00445472"/>
    <w:rsid w:val="0045173B"/>
    <w:rsid w:val="0045338E"/>
    <w:rsid w:val="0045348A"/>
    <w:rsid w:val="004544E2"/>
    <w:rsid w:val="0045469F"/>
    <w:rsid w:val="0046051D"/>
    <w:rsid w:val="0046363D"/>
    <w:rsid w:val="004650D3"/>
    <w:rsid w:val="00467D06"/>
    <w:rsid w:val="00470070"/>
    <w:rsid w:val="00473475"/>
    <w:rsid w:val="00474E42"/>
    <w:rsid w:val="004919DA"/>
    <w:rsid w:val="00497CF8"/>
    <w:rsid w:val="004A121D"/>
    <w:rsid w:val="004A3A2F"/>
    <w:rsid w:val="004A69A0"/>
    <w:rsid w:val="004B409C"/>
    <w:rsid w:val="004B47D7"/>
    <w:rsid w:val="004B6822"/>
    <w:rsid w:val="004C2FB3"/>
    <w:rsid w:val="004C46B2"/>
    <w:rsid w:val="004C5E1A"/>
    <w:rsid w:val="004C5F67"/>
    <w:rsid w:val="004D17EE"/>
    <w:rsid w:val="004D40F8"/>
    <w:rsid w:val="004D7E40"/>
    <w:rsid w:val="004E10EA"/>
    <w:rsid w:val="004E21A3"/>
    <w:rsid w:val="004E2931"/>
    <w:rsid w:val="004E3D4F"/>
    <w:rsid w:val="004F012A"/>
    <w:rsid w:val="004F0517"/>
    <w:rsid w:val="004F2F67"/>
    <w:rsid w:val="004F7DE3"/>
    <w:rsid w:val="005068BB"/>
    <w:rsid w:val="0051036C"/>
    <w:rsid w:val="00515CEE"/>
    <w:rsid w:val="00516D80"/>
    <w:rsid w:val="00522130"/>
    <w:rsid w:val="0052686E"/>
    <w:rsid w:val="00531E9E"/>
    <w:rsid w:val="00533787"/>
    <w:rsid w:val="00533AD7"/>
    <w:rsid w:val="005345B9"/>
    <w:rsid w:val="00534D27"/>
    <w:rsid w:val="00542FD7"/>
    <w:rsid w:val="0054305F"/>
    <w:rsid w:val="00552DD1"/>
    <w:rsid w:val="00555144"/>
    <w:rsid w:val="005553DC"/>
    <w:rsid w:val="005576E6"/>
    <w:rsid w:val="00557727"/>
    <w:rsid w:val="0056512A"/>
    <w:rsid w:val="00566794"/>
    <w:rsid w:val="00566B53"/>
    <w:rsid w:val="005736D4"/>
    <w:rsid w:val="00576FEC"/>
    <w:rsid w:val="0058263D"/>
    <w:rsid w:val="00583566"/>
    <w:rsid w:val="0058465C"/>
    <w:rsid w:val="00584F3A"/>
    <w:rsid w:val="00586DC0"/>
    <w:rsid w:val="00591874"/>
    <w:rsid w:val="005919A7"/>
    <w:rsid w:val="005921A2"/>
    <w:rsid w:val="00592567"/>
    <w:rsid w:val="005A1FF2"/>
    <w:rsid w:val="005A31B7"/>
    <w:rsid w:val="005A322D"/>
    <w:rsid w:val="005A6B16"/>
    <w:rsid w:val="005B0FB0"/>
    <w:rsid w:val="005B35C6"/>
    <w:rsid w:val="005C503B"/>
    <w:rsid w:val="005C56FB"/>
    <w:rsid w:val="005C5E7C"/>
    <w:rsid w:val="005C6A65"/>
    <w:rsid w:val="005D2BBB"/>
    <w:rsid w:val="005D57BE"/>
    <w:rsid w:val="005E3C88"/>
    <w:rsid w:val="005E7597"/>
    <w:rsid w:val="005F5F95"/>
    <w:rsid w:val="005F69D2"/>
    <w:rsid w:val="00601E1F"/>
    <w:rsid w:val="0060203A"/>
    <w:rsid w:val="00602EA1"/>
    <w:rsid w:val="0060431B"/>
    <w:rsid w:val="0060582A"/>
    <w:rsid w:val="00607256"/>
    <w:rsid w:val="00611813"/>
    <w:rsid w:val="00612037"/>
    <w:rsid w:val="006139C6"/>
    <w:rsid w:val="00613C1E"/>
    <w:rsid w:val="006157EC"/>
    <w:rsid w:val="00623996"/>
    <w:rsid w:val="00632163"/>
    <w:rsid w:val="00632E5D"/>
    <w:rsid w:val="0063541D"/>
    <w:rsid w:val="00640061"/>
    <w:rsid w:val="00640E98"/>
    <w:rsid w:val="00651332"/>
    <w:rsid w:val="006514C7"/>
    <w:rsid w:val="0065261C"/>
    <w:rsid w:val="0065524F"/>
    <w:rsid w:val="00655C7F"/>
    <w:rsid w:val="00657C8B"/>
    <w:rsid w:val="006602A2"/>
    <w:rsid w:val="00661AB4"/>
    <w:rsid w:val="00664743"/>
    <w:rsid w:val="006665AB"/>
    <w:rsid w:val="00667DA2"/>
    <w:rsid w:val="00674665"/>
    <w:rsid w:val="00677577"/>
    <w:rsid w:val="006778FD"/>
    <w:rsid w:val="006835EE"/>
    <w:rsid w:val="006944EE"/>
    <w:rsid w:val="00696031"/>
    <w:rsid w:val="006A2B1D"/>
    <w:rsid w:val="006B401D"/>
    <w:rsid w:val="006B5775"/>
    <w:rsid w:val="006C0DEF"/>
    <w:rsid w:val="006C227B"/>
    <w:rsid w:val="006D3ED7"/>
    <w:rsid w:val="006D63B7"/>
    <w:rsid w:val="006D6D10"/>
    <w:rsid w:val="006D77B5"/>
    <w:rsid w:val="006D7E0C"/>
    <w:rsid w:val="006E29D6"/>
    <w:rsid w:val="006E3BC0"/>
    <w:rsid w:val="006E3C25"/>
    <w:rsid w:val="006F0C84"/>
    <w:rsid w:val="006F187C"/>
    <w:rsid w:val="006F3B5E"/>
    <w:rsid w:val="006F476F"/>
    <w:rsid w:val="007011D5"/>
    <w:rsid w:val="00707F2D"/>
    <w:rsid w:val="00713C61"/>
    <w:rsid w:val="00715A25"/>
    <w:rsid w:val="007201E5"/>
    <w:rsid w:val="00720AA9"/>
    <w:rsid w:val="00721D00"/>
    <w:rsid w:val="0072465B"/>
    <w:rsid w:val="0072743F"/>
    <w:rsid w:val="007304FF"/>
    <w:rsid w:val="007351DA"/>
    <w:rsid w:val="0074234C"/>
    <w:rsid w:val="00750049"/>
    <w:rsid w:val="00761A7C"/>
    <w:rsid w:val="00765B80"/>
    <w:rsid w:val="00765F79"/>
    <w:rsid w:val="00767D10"/>
    <w:rsid w:val="00771D92"/>
    <w:rsid w:val="00777C0A"/>
    <w:rsid w:val="00781710"/>
    <w:rsid w:val="00784DBA"/>
    <w:rsid w:val="00791F1E"/>
    <w:rsid w:val="0079325C"/>
    <w:rsid w:val="007946B1"/>
    <w:rsid w:val="00797508"/>
    <w:rsid w:val="00797653"/>
    <w:rsid w:val="007A483F"/>
    <w:rsid w:val="007A5C77"/>
    <w:rsid w:val="007A73BB"/>
    <w:rsid w:val="007B2699"/>
    <w:rsid w:val="007B2C3F"/>
    <w:rsid w:val="007B6117"/>
    <w:rsid w:val="007C05AD"/>
    <w:rsid w:val="007C3B39"/>
    <w:rsid w:val="007C42BF"/>
    <w:rsid w:val="007D0A50"/>
    <w:rsid w:val="007D2202"/>
    <w:rsid w:val="007D4420"/>
    <w:rsid w:val="007D524E"/>
    <w:rsid w:val="007E48B3"/>
    <w:rsid w:val="007E4E98"/>
    <w:rsid w:val="007E53B3"/>
    <w:rsid w:val="007E576F"/>
    <w:rsid w:val="007F01E5"/>
    <w:rsid w:val="007F16F1"/>
    <w:rsid w:val="007F1DCE"/>
    <w:rsid w:val="007F2C21"/>
    <w:rsid w:val="007F58EC"/>
    <w:rsid w:val="007F6A37"/>
    <w:rsid w:val="00800009"/>
    <w:rsid w:val="0080350E"/>
    <w:rsid w:val="00805290"/>
    <w:rsid w:val="008106AE"/>
    <w:rsid w:val="00810B15"/>
    <w:rsid w:val="0081254E"/>
    <w:rsid w:val="00813EBE"/>
    <w:rsid w:val="008158FD"/>
    <w:rsid w:val="00824837"/>
    <w:rsid w:val="00824FB5"/>
    <w:rsid w:val="00825C12"/>
    <w:rsid w:val="00826392"/>
    <w:rsid w:val="00826493"/>
    <w:rsid w:val="00833821"/>
    <w:rsid w:val="00833BFC"/>
    <w:rsid w:val="0083548F"/>
    <w:rsid w:val="008371BA"/>
    <w:rsid w:val="008524EB"/>
    <w:rsid w:val="00852A6C"/>
    <w:rsid w:val="008535F5"/>
    <w:rsid w:val="00854DE5"/>
    <w:rsid w:val="00855270"/>
    <w:rsid w:val="008552E6"/>
    <w:rsid w:val="00855633"/>
    <w:rsid w:val="00865844"/>
    <w:rsid w:val="00867A1F"/>
    <w:rsid w:val="0087067A"/>
    <w:rsid w:val="00875112"/>
    <w:rsid w:val="00875456"/>
    <w:rsid w:val="00877462"/>
    <w:rsid w:val="00882A5B"/>
    <w:rsid w:val="00884ABE"/>
    <w:rsid w:val="00885921"/>
    <w:rsid w:val="008912D1"/>
    <w:rsid w:val="00894A49"/>
    <w:rsid w:val="008A1D85"/>
    <w:rsid w:val="008A52E0"/>
    <w:rsid w:val="008A7A05"/>
    <w:rsid w:val="008B0E6A"/>
    <w:rsid w:val="008B1185"/>
    <w:rsid w:val="008B3666"/>
    <w:rsid w:val="008B3A3E"/>
    <w:rsid w:val="008B6808"/>
    <w:rsid w:val="008B790E"/>
    <w:rsid w:val="008C5E81"/>
    <w:rsid w:val="008C6267"/>
    <w:rsid w:val="008C7EB9"/>
    <w:rsid w:val="008D2E99"/>
    <w:rsid w:val="008D425C"/>
    <w:rsid w:val="008D44C8"/>
    <w:rsid w:val="008E02C8"/>
    <w:rsid w:val="008E11B0"/>
    <w:rsid w:val="008E11E9"/>
    <w:rsid w:val="008E2713"/>
    <w:rsid w:val="008E4DCC"/>
    <w:rsid w:val="008E66FC"/>
    <w:rsid w:val="008E68AD"/>
    <w:rsid w:val="008E6BF6"/>
    <w:rsid w:val="008F0F10"/>
    <w:rsid w:val="008F271C"/>
    <w:rsid w:val="008F4F78"/>
    <w:rsid w:val="008F5E66"/>
    <w:rsid w:val="0090014E"/>
    <w:rsid w:val="009019E3"/>
    <w:rsid w:val="009029A5"/>
    <w:rsid w:val="00905340"/>
    <w:rsid w:val="00906844"/>
    <w:rsid w:val="0090717E"/>
    <w:rsid w:val="009079BD"/>
    <w:rsid w:val="0091270E"/>
    <w:rsid w:val="00914E4B"/>
    <w:rsid w:val="00915AC4"/>
    <w:rsid w:val="00922D6E"/>
    <w:rsid w:val="009243DE"/>
    <w:rsid w:val="00925F75"/>
    <w:rsid w:val="0092787B"/>
    <w:rsid w:val="0094029F"/>
    <w:rsid w:val="00943D9E"/>
    <w:rsid w:val="00944F53"/>
    <w:rsid w:val="009468D1"/>
    <w:rsid w:val="00946CC2"/>
    <w:rsid w:val="00953FC0"/>
    <w:rsid w:val="009558AE"/>
    <w:rsid w:val="009562D2"/>
    <w:rsid w:val="00956408"/>
    <w:rsid w:val="009570BE"/>
    <w:rsid w:val="0095752D"/>
    <w:rsid w:val="00957BAD"/>
    <w:rsid w:val="00963DD5"/>
    <w:rsid w:val="00964704"/>
    <w:rsid w:val="009674F3"/>
    <w:rsid w:val="009709C4"/>
    <w:rsid w:val="00973827"/>
    <w:rsid w:val="009740A6"/>
    <w:rsid w:val="009745ED"/>
    <w:rsid w:val="00974820"/>
    <w:rsid w:val="00982E25"/>
    <w:rsid w:val="00984861"/>
    <w:rsid w:val="00985F39"/>
    <w:rsid w:val="009911A5"/>
    <w:rsid w:val="009917ED"/>
    <w:rsid w:val="009933C9"/>
    <w:rsid w:val="00995D87"/>
    <w:rsid w:val="009973E9"/>
    <w:rsid w:val="009A26FC"/>
    <w:rsid w:val="009A4300"/>
    <w:rsid w:val="009B341B"/>
    <w:rsid w:val="009B3E69"/>
    <w:rsid w:val="009B400D"/>
    <w:rsid w:val="009C39A7"/>
    <w:rsid w:val="009D1578"/>
    <w:rsid w:val="009D1B44"/>
    <w:rsid w:val="009D29A7"/>
    <w:rsid w:val="009D5362"/>
    <w:rsid w:val="009D6F37"/>
    <w:rsid w:val="009D6FCB"/>
    <w:rsid w:val="009D73D2"/>
    <w:rsid w:val="009E0A44"/>
    <w:rsid w:val="009E2064"/>
    <w:rsid w:val="009E7077"/>
    <w:rsid w:val="009E7E0F"/>
    <w:rsid w:val="009F13C8"/>
    <w:rsid w:val="009F5B04"/>
    <w:rsid w:val="009F6494"/>
    <w:rsid w:val="00A04768"/>
    <w:rsid w:val="00A126F7"/>
    <w:rsid w:val="00A127AA"/>
    <w:rsid w:val="00A14A0B"/>
    <w:rsid w:val="00A25348"/>
    <w:rsid w:val="00A3060A"/>
    <w:rsid w:val="00A31712"/>
    <w:rsid w:val="00A32FA2"/>
    <w:rsid w:val="00A358ED"/>
    <w:rsid w:val="00A36190"/>
    <w:rsid w:val="00A42111"/>
    <w:rsid w:val="00A450D6"/>
    <w:rsid w:val="00A50818"/>
    <w:rsid w:val="00A51E97"/>
    <w:rsid w:val="00A53161"/>
    <w:rsid w:val="00A65F70"/>
    <w:rsid w:val="00A6625D"/>
    <w:rsid w:val="00A74DFB"/>
    <w:rsid w:val="00A77655"/>
    <w:rsid w:val="00A80BAD"/>
    <w:rsid w:val="00A80E5D"/>
    <w:rsid w:val="00A828EE"/>
    <w:rsid w:val="00A83F32"/>
    <w:rsid w:val="00A84EE7"/>
    <w:rsid w:val="00A8738D"/>
    <w:rsid w:val="00A92974"/>
    <w:rsid w:val="00A92B1C"/>
    <w:rsid w:val="00A979CF"/>
    <w:rsid w:val="00AA0405"/>
    <w:rsid w:val="00AA32A5"/>
    <w:rsid w:val="00AA5C2D"/>
    <w:rsid w:val="00AB167D"/>
    <w:rsid w:val="00AB1B88"/>
    <w:rsid w:val="00AB304A"/>
    <w:rsid w:val="00AB409F"/>
    <w:rsid w:val="00AB70AE"/>
    <w:rsid w:val="00AB7E20"/>
    <w:rsid w:val="00AC2A5E"/>
    <w:rsid w:val="00AC38A9"/>
    <w:rsid w:val="00AC7449"/>
    <w:rsid w:val="00AC7B5A"/>
    <w:rsid w:val="00AD2A24"/>
    <w:rsid w:val="00AD6322"/>
    <w:rsid w:val="00AE0645"/>
    <w:rsid w:val="00AE1947"/>
    <w:rsid w:val="00AE6A1A"/>
    <w:rsid w:val="00AE7707"/>
    <w:rsid w:val="00AF5F56"/>
    <w:rsid w:val="00B02136"/>
    <w:rsid w:val="00B0475B"/>
    <w:rsid w:val="00B11BF4"/>
    <w:rsid w:val="00B11FE3"/>
    <w:rsid w:val="00B21D36"/>
    <w:rsid w:val="00B22389"/>
    <w:rsid w:val="00B2375E"/>
    <w:rsid w:val="00B310BF"/>
    <w:rsid w:val="00B35A77"/>
    <w:rsid w:val="00B41D0B"/>
    <w:rsid w:val="00B42F05"/>
    <w:rsid w:val="00B45C51"/>
    <w:rsid w:val="00B50DBD"/>
    <w:rsid w:val="00B55ED9"/>
    <w:rsid w:val="00B61EFA"/>
    <w:rsid w:val="00B62A84"/>
    <w:rsid w:val="00B65E03"/>
    <w:rsid w:val="00B66C05"/>
    <w:rsid w:val="00B670C7"/>
    <w:rsid w:val="00B80F67"/>
    <w:rsid w:val="00B831CB"/>
    <w:rsid w:val="00B96C3F"/>
    <w:rsid w:val="00B97AB2"/>
    <w:rsid w:val="00BA14B8"/>
    <w:rsid w:val="00BA1F0C"/>
    <w:rsid w:val="00BA2E42"/>
    <w:rsid w:val="00BA590B"/>
    <w:rsid w:val="00BA7C4D"/>
    <w:rsid w:val="00BB09D9"/>
    <w:rsid w:val="00BB11AB"/>
    <w:rsid w:val="00BB2F3B"/>
    <w:rsid w:val="00BB7D77"/>
    <w:rsid w:val="00BC1B23"/>
    <w:rsid w:val="00BC3AD2"/>
    <w:rsid w:val="00BC51DB"/>
    <w:rsid w:val="00BD2287"/>
    <w:rsid w:val="00BD5B43"/>
    <w:rsid w:val="00BD7135"/>
    <w:rsid w:val="00BD76B1"/>
    <w:rsid w:val="00BD7FE4"/>
    <w:rsid w:val="00BE12FA"/>
    <w:rsid w:val="00BE1DB1"/>
    <w:rsid w:val="00BE544D"/>
    <w:rsid w:val="00BE63E1"/>
    <w:rsid w:val="00BE68F3"/>
    <w:rsid w:val="00BF0DDC"/>
    <w:rsid w:val="00BF4D0D"/>
    <w:rsid w:val="00BF5840"/>
    <w:rsid w:val="00BF629C"/>
    <w:rsid w:val="00BF6A09"/>
    <w:rsid w:val="00BF7F7C"/>
    <w:rsid w:val="00C00F8E"/>
    <w:rsid w:val="00C115B8"/>
    <w:rsid w:val="00C12E36"/>
    <w:rsid w:val="00C20C3A"/>
    <w:rsid w:val="00C21133"/>
    <w:rsid w:val="00C25B96"/>
    <w:rsid w:val="00C318AB"/>
    <w:rsid w:val="00C33DE0"/>
    <w:rsid w:val="00C34610"/>
    <w:rsid w:val="00C37967"/>
    <w:rsid w:val="00C41455"/>
    <w:rsid w:val="00C427FF"/>
    <w:rsid w:val="00C43AE0"/>
    <w:rsid w:val="00C44569"/>
    <w:rsid w:val="00C51DC9"/>
    <w:rsid w:val="00C671B3"/>
    <w:rsid w:val="00C67C4D"/>
    <w:rsid w:val="00C70D16"/>
    <w:rsid w:val="00C857F2"/>
    <w:rsid w:val="00C85ECF"/>
    <w:rsid w:val="00C86F0B"/>
    <w:rsid w:val="00C87FDA"/>
    <w:rsid w:val="00C97037"/>
    <w:rsid w:val="00CA10CD"/>
    <w:rsid w:val="00CA34CA"/>
    <w:rsid w:val="00CA54B1"/>
    <w:rsid w:val="00CB1262"/>
    <w:rsid w:val="00CB432B"/>
    <w:rsid w:val="00CB688D"/>
    <w:rsid w:val="00CB747C"/>
    <w:rsid w:val="00CB7C04"/>
    <w:rsid w:val="00CC19F4"/>
    <w:rsid w:val="00CC5EF5"/>
    <w:rsid w:val="00CC7781"/>
    <w:rsid w:val="00CD0DDC"/>
    <w:rsid w:val="00CD683A"/>
    <w:rsid w:val="00CF0A90"/>
    <w:rsid w:val="00CF3B0E"/>
    <w:rsid w:val="00CF47EF"/>
    <w:rsid w:val="00D03E38"/>
    <w:rsid w:val="00D0631E"/>
    <w:rsid w:val="00D1206F"/>
    <w:rsid w:val="00D17044"/>
    <w:rsid w:val="00D234D9"/>
    <w:rsid w:val="00D243E7"/>
    <w:rsid w:val="00D31286"/>
    <w:rsid w:val="00D31E4A"/>
    <w:rsid w:val="00D3740F"/>
    <w:rsid w:val="00D37F97"/>
    <w:rsid w:val="00D401E4"/>
    <w:rsid w:val="00D4223F"/>
    <w:rsid w:val="00D503E2"/>
    <w:rsid w:val="00D51900"/>
    <w:rsid w:val="00D54444"/>
    <w:rsid w:val="00D5634F"/>
    <w:rsid w:val="00D601B0"/>
    <w:rsid w:val="00D675B8"/>
    <w:rsid w:val="00D7132A"/>
    <w:rsid w:val="00D73FE0"/>
    <w:rsid w:val="00D76C2F"/>
    <w:rsid w:val="00D80D7C"/>
    <w:rsid w:val="00D8322A"/>
    <w:rsid w:val="00D846E5"/>
    <w:rsid w:val="00D85C10"/>
    <w:rsid w:val="00D9639B"/>
    <w:rsid w:val="00DA0ACF"/>
    <w:rsid w:val="00DB0483"/>
    <w:rsid w:val="00DB52B3"/>
    <w:rsid w:val="00DB5F13"/>
    <w:rsid w:val="00DB7A94"/>
    <w:rsid w:val="00DB7FCC"/>
    <w:rsid w:val="00DC31E7"/>
    <w:rsid w:val="00DC6446"/>
    <w:rsid w:val="00DC7912"/>
    <w:rsid w:val="00DD040B"/>
    <w:rsid w:val="00DD3237"/>
    <w:rsid w:val="00DD5132"/>
    <w:rsid w:val="00DD5EE3"/>
    <w:rsid w:val="00DE2FB8"/>
    <w:rsid w:val="00DE3430"/>
    <w:rsid w:val="00DE4844"/>
    <w:rsid w:val="00DF013C"/>
    <w:rsid w:val="00DF086D"/>
    <w:rsid w:val="00DF0E8C"/>
    <w:rsid w:val="00E02D9F"/>
    <w:rsid w:val="00E0628F"/>
    <w:rsid w:val="00E136ED"/>
    <w:rsid w:val="00E21EF1"/>
    <w:rsid w:val="00E22B1D"/>
    <w:rsid w:val="00E2338C"/>
    <w:rsid w:val="00E23C74"/>
    <w:rsid w:val="00E250F8"/>
    <w:rsid w:val="00E25AE3"/>
    <w:rsid w:val="00E27A04"/>
    <w:rsid w:val="00E30206"/>
    <w:rsid w:val="00E33E94"/>
    <w:rsid w:val="00E35508"/>
    <w:rsid w:val="00E37763"/>
    <w:rsid w:val="00E37B05"/>
    <w:rsid w:val="00E44C65"/>
    <w:rsid w:val="00E46C66"/>
    <w:rsid w:val="00E523A7"/>
    <w:rsid w:val="00E5322E"/>
    <w:rsid w:val="00E537E2"/>
    <w:rsid w:val="00E56A17"/>
    <w:rsid w:val="00E600E4"/>
    <w:rsid w:val="00E60315"/>
    <w:rsid w:val="00E61108"/>
    <w:rsid w:val="00E618CD"/>
    <w:rsid w:val="00E619F0"/>
    <w:rsid w:val="00E62131"/>
    <w:rsid w:val="00E640A7"/>
    <w:rsid w:val="00E65EA2"/>
    <w:rsid w:val="00E75B00"/>
    <w:rsid w:val="00E75E03"/>
    <w:rsid w:val="00E824A9"/>
    <w:rsid w:val="00E855EC"/>
    <w:rsid w:val="00E8746D"/>
    <w:rsid w:val="00E9447A"/>
    <w:rsid w:val="00EA349B"/>
    <w:rsid w:val="00EA3AE1"/>
    <w:rsid w:val="00EA3F1B"/>
    <w:rsid w:val="00EA513F"/>
    <w:rsid w:val="00EA5287"/>
    <w:rsid w:val="00EA66A1"/>
    <w:rsid w:val="00EB0BB4"/>
    <w:rsid w:val="00EB1150"/>
    <w:rsid w:val="00EB2096"/>
    <w:rsid w:val="00EB3DEA"/>
    <w:rsid w:val="00EC159A"/>
    <w:rsid w:val="00ED15B7"/>
    <w:rsid w:val="00EE08A0"/>
    <w:rsid w:val="00EE0AD5"/>
    <w:rsid w:val="00EE1C57"/>
    <w:rsid w:val="00EE203C"/>
    <w:rsid w:val="00EE5092"/>
    <w:rsid w:val="00EE58BF"/>
    <w:rsid w:val="00EE5950"/>
    <w:rsid w:val="00EE5ECD"/>
    <w:rsid w:val="00EE61EF"/>
    <w:rsid w:val="00EF3E37"/>
    <w:rsid w:val="00EF43F5"/>
    <w:rsid w:val="00EF6DA4"/>
    <w:rsid w:val="00F015B2"/>
    <w:rsid w:val="00F02A28"/>
    <w:rsid w:val="00F03841"/>
    <w:rsid w:val="00F055C4"/>
    <w:rsid w:val="00F100FD"/>
    <w:rsid w:val="00F10A7B"/>
    <w:rsid w:val="00F12D29"/>
    <w:rsid w:val="00F166C8"/>
    <w:rsid w:val="00F25AC9"/>
    <w:rsid w:val="00F336F5"/>
    <w:rsid w:val="00F34997"/>
    <w:rsid w:val="00F40A62"/>
    <w:rsid w:val="00F40B54"/>
    <w:rsid w:val="00F41C87"/>
    <w:rsid w:val="00F47C1F"/>
    <w:rsid w:val="00F50B99"/>
    <w:rsid w:val="00F60258"/>
    <w:rsid w:val="00F63919"/>
    <w:rsid w:val="00F65494"/>
    <w:rsid w:val="00F70CF8"/>
    <w:rsid w:val="00F714F8"/>
    <w:rsid w:val="00F76CB5"/>
    <w:rsid w:val="00F77ECE"/>
    <w:rsid w:val="00F8309A"/>
    <w:rsid w:val="00F904AB"/>
    <w:rsid w:val="00F949B2"/>
    <w:rsid w:val="00F96618"/>
    <w:rsid w:val="00FA3E9E"/>
    <w:rsid w:val="00FA499A"/>
    <w:rsid w:val="00FB4132"/>
    <w:rsid w:val="00FB5B58"/>
    <w:rsid w:val="00FB6A78"/>
    <w:rsid w:val="00FB7503"/>
    <w:rsid w:val="00FB7698"/>
    <w:rsid w:val="00FC2716"/>
    <w:rsid w:val="00FC4BE5"/>
    <w:rsid w:val="00FD7B94"/>
    <w:rsid w:val="00FD7C78"/>
    <w:rsid w:val="00FE087F"/>
    <w:rsid w:val="00FE4E3F"/>
    <w:rsid w:val="00FE541B"/>
    <w:rsid w:val="00FE6FE7"/>
    <w:rsid w:val="00FF2D62"/>
    <w:rsid w:val="00FF3EF2"/>
    <w:rsid w:val="00FF7780"/>
    <w:rsid w:val="0A47FF43"/>
    <w:rsid w:val="10B740C7"/>
    <w:rsid w:val="12CC336E"/>
    <w:rsid w:val="15EAABD3"/>
    <w:rsid w:val="1ABE1CF6"/>
    <w:rsid w:val="4D7EE0D1"/>
    <w:rsid w:val="4F1AB132"/>
    <w:rsid w:val="5AD80486"/>
    <w:rsid w:val="5E6F9F31"/>
    <w:rsid w:val="600B6F92"/>
    <w:rsid w:val="63431054"/>
    <w:rsid w:val="6465BE6F"/>
    <w:rsid w:val="6BC8C2E6"/>
    <w:rsid w:val="6D80C531"/>
    <w:rsid w:val="73BAAC6E"/>
    <w:rsid w:val="788E1D91"/>
    <w:rsid w:val="7A29EDF2"/>
    <w:rsid w:val="7FF1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E92C"/>
  <w15:docId w15:val="{ADFD8563-D211-4BC6-8BF7-3D4F9E93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30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34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30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D6D1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173B"/>
    <w:pPr>
      <w:tabs>
        <w:tab w:val="center" w:pos="4320"/>
        <w:tab w:val="right" w:pos="8640"/>
      </w:tabs>
    </w:pPr>
  </w:style>
  <w:style w:type="character" w:customStyle="1" w:styleId="FooterChar">
    <w:name w:val="Footer Char"/>
    <w:basedOn w:val="DefaultParagraphFont"/>
    <w:link w:val="Footer"/>
    <w:uiPriority w:val="99"/>
    <w:rsid w:val="0045173B"/>
    <w:rPr>
      <w:rFonts w:ascii="Times New Roman" w:eastAsia="Times New Roman" w:hAnsi="Times New Roman" w:cs="Times New Roman"/>
      <w:sz w:val="24"/>
      <w:szCs w:val="24"/>
    </w:rPr>
  </w:style>
  <w:style w:type="paragraph" w:styleId="ListParagraph">
    <w:name w:val="List Paragraph"/>
    <w:basedOn w:val="Normal"/>
    <w:uiPriority w:val="34"/>
    <w:qFormat/>
    <w:rsid w:val="0045173B"/>
    <w:pPr>
      <w:ind w:left="720"/>
    </w:pPr>
    <w:rPr>
      <w:rFonts w:ascii="Calibri" w:eastAsia="Calibri" w:hAnsi="Calibri"/>
      <w:sz w:val="22"/>
      <w:szCs w:val="22"/>
    </w:rPr>
  </w:style>
  <w:style w:type="character" w:customStyle="1" w:styleId="Heading1Char">
    <w:name w:val="Heading 1 Char"/>
    <w:basedOn w:val="DefaultParagraphFont"/>
    <w:link w:val="Heading1"/>
    <w:uiPriority w:val="9"/>
    <w:rsid w:val="00F8309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2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3F5"/>
    <w:pPr>
      <w:tabs>
        <w:tab w:val="center" w:pos="4680"/>
        <w:tab w:val="right" w:pos="9360"/>
      </w:tabs>
    </w:pPr>
  </w:style>
  <w:style w:type="character" w:customStyle="1" w:styleId="HeaderChar">
    <w:name w:val="Header Char"/>
    <w:basedOn w:val="DefaultParagraphFont"/>
    <w:link w:val="Header"/>
    <w:uiPriority w:val="99"/>
    <w:rsid w:val="00EF43F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12FA"/>
    <w:rPr>
      <w:color w:val="0563C1" w:themeColor="hyperlink"/>
      <w:u w:val="single"/>
    </w:rPr>
  </w:style>
  <w:style w:type="character" w:styleId="UnresolvedMention">
    <w:name w:val="Unresolved Mention"/>
    <w:basedOn w:val="DefaultParagraphFont"/>
    <w:uiPriority w:val="99"/>
    <w:semiHidden/>
    <w:unhideWhenUsed/>
    <w:rsid w:val="00BE12FA"/>
    <w:rPr>
      <w:color w:val="605E5C"/>
      <w:shd w:val="clear" w:color="auto" w:fill="E1DFDD"/>
    </w:rPr>
  </w:style>
  <w:style w:type="character" w:customStyle="1" w:styleId="Heading3Char">
    <w:name w:val="Heading 3 Char"/>
    <w:basedOn w:val="DefaultParagraphFont"/>
    <w:link w:val="Heading3"/>
    <w:uiPriority w:val="9"/>
    <w:rsid w:val="0054305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D425C"/>
    <w:pPr>
      <w:spacing w:before="100" w:beforeAutospacing="1" w:after="100" w:afterAutospacing="1"/>
    </w:pPr>
  </w:style>
  <w:style w:type="character" w:styleId="Strong">
    <w:name w:val="Strong"/>
    <w:basedOn w:val="DefaultParagraphFont"/>
    <w:uiPriority w:val="22"/>
    <w:qFormat/>
    <w:rsid w:val="008D425C"/>
    <w:rPr>
      <w:b/>
      <w:bCs/>
    </w:rPr>
  </w:style>
  <w:style w:type="character" w:customStyle="1" w:styleId="Heading4Char">
    <w:name w:val="Heading 4 Char"/>
    <w:basedOn w:val="DefaultParagraphFont"/>
    <w:link w:val="Heading4"/>
    <w:uiPriority w:val="9"/>
    <w:semiHidden/>
    <w:rsid w:val="006D6D10"/>
    <w:rPr>
      <w:rFonts w:asciiTheme="majorHAnsi" w:eastAsiaTheme="majorEastAsia" w:hAnsiTheme="majorHAnsi" w:cstheme="majorBidi"/>
      <w:i/>
      <w:iCs/>
      <w:color w:val="2F5496" w:themeColor="accent1" w:themeShade="BF"/>
      <w:sz w:val="24"/>
      <w:szCs w:val="24"/>
    </w:rPr>
  </w:style>
  <w:style w:type="paragraph" w:styleId="Revision">
    <w:name w:val="Revision"/>
    <w:hidden/>
    <w:uiPriority w:val="99"/>
    <w:semiHidden/>
    <w:rsid w:val="00FE541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1108"/>
    <w:rPr>
      <w:sz w:val="16"/>
      <w:szCs w:val="16"/>
    </w:rPr>
  </w:style>
  <w:style w:type="paragraph" w:styleId="CommentText">
    <w:name w:val="annotation text"/>
    <w:basedOn w:val="Normal"/>
    <w:link w:val="CommentTextChar"/>
    <w:uiPriority w:val="99"/>
    <w:unhideWhenUsed/>
    <w:rsid w:val="00E61108"/>
    <w:rPr>
      <w:sz w:val="20"/>
      <w:szCs w:val="20"/>
    </w:rPr>
  </w:style>
  <w:style w:type="character" w:customStyle="1" w:styleId="CommentTextChar">
    <w:name w:val="Comment Text Char"/>
    <w:basedOn w:val="DefaultParagraphFont"/>
    <w:link w:val="CommentText"/>
    <w:uiPriority w:val="99"/>
    <w:rsid w:val="00E61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108"/>
    <w:rPr>
      <w:b/>
      <w:bCs/>
    </w:rPr>
  </w:style>
  <w:style w:type="character" w:customStyle="1" w:styleId="CommentSubjectChar">
    <w:name w:val="Comment Subject Char"/>
    <w:basedOn w:val="CommentTextChar"/>
    <w:link w:val="CommentSubject"/>
    <w:uiPriority w:val="99"/>
    <w:semiHidden/>
    <w:rsid w:val="00E6110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3D34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364">
      <w:bodyDiv w:val="1"/>
      <w:marLeft w:val="0"/>
      <w:marRight w:val="0"/>
      <w:marTop w:val="0"/>
      <w:marBottom w:val="0"/>
      <w:divBdr>
        <w:top w:val="none" w:sz="0" w:space="0" w:color="auto"/>
        <w:left w:val="none" w:sz="0" w:space="0" w:color="auto"/>
        <w:bottom w:val="none" w:sz="0" w:space="0" w:color="auto"/>
        <w:right w:val="none" w:sz="0" w:space="0" w:color="auto"/>
      </w:divBdr>
    </w:div>
    <w:div w:id="107357449">
      <w:bodyDiv w:val="1"/>
      <w:marLeft w:val="0"/>
      <w:marRight w:val="0"/>
      <w:marTop w:val="0"/>
      <w:marBottom w:val="0"/>
      <w:divBdr>
        <w:top w:val="none" w:sz="0" w:space="0" w:color="auto"/>
        <w:left w:val="none" w:sz="0" w:space="0" w:color="auto"/>
        <w:bottom w:val="none" w:sz="0" w:space="0" w:color="auto"/>
        <w:right w:val="none" w:sz="0" w:space="0" w:color="auto"/>
      </w:divBdr>
    </w:div>
    <w:div w:id="300424540">
      <w:bodyDiv w:val="1"/>
      <w:marLeft w:val="0"/>
      <w:marRight w:val="0"/>
      <w:marTop w:val="0"/>
      <w:marBottom w:val="0"/>
      <w:divBdr>
        <w:top w:val="none" w:sz="0" w:space="0" w:color="auto"/>
        <w:left w:val="none" w:sz="0" w:space="0" w:color="auto"/>
        <w:bottom w:val="none" w:sz="0" w:space="0" w:color="auto"/>
        <w:right w:val="none" w:sz="0" w:space="0" w:color="auto"/>
      </w:divBdr>
    </w:div>
    <w:div w:id="1148982811">
      <w:bodyDiv w:val="1"/>
      <w:marLeft w:val="0"/>
      <w:marRight w:val="0"/>
      <w:marTop w:val="0"/>
      <w:marBottom w:val="0"/>
      <w:divBdr>
        <w:top w:val="none" w:sz="0" w:space="0" w:color="auto"/>
        <w:left w:val="none" w:sz="0" w:space="0" w:color="auto"/>
        <w:bottom w:val="none" w:sz="0" w:space="0" w:color="auto"/>
        <w:right w:val="none" w:sz="0" w:space="0" w:color="auto"/>
      </w:divBdr>
    </w:div>
    <w:div w:id="1829402525">
      <w:bodyDiv w:val="1"/>
      <w:marLeft w:val="0"/>
      <w:marRight w:val="0"/>
      <w:marTop w:val="0"/>
      <w:marBottom w:val="0"/>
      <w:divBdr>
        <w:top w:val="none" w:sz="0" w:space="0" w:color="auto"/>
        <w:left w:val="none" w:sz="0" w:space="0" w:color="auto"/>
        <w:bottom w:val="none" w:sz="0" w:space="0" w:color="auto"/>
        <w:right w:val="none" w:sz="0" w:space="0" w:color="auto"/>
      </w:divBdr>
    </w:div>
    <w:div w:id="184543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a7730-6365-49c2-ad55-697c0b846f28" xsi:nil="true"/>
    <lcf76f155ced4ddcb4097134ff3c332f xmlns="29f257e8-729a-414a-a0fb-bc150ad772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6A4CAB84F934EA1AFEB0E2A10C98B" ma:contentTypeVersion="13" ma:contentTypeDescription="Create a new document." ma:contentTypeScope="" ma:versionID="374187cf94358480b5889718a757fd11">
  <xsd:schema xmlns:xsd="http://www.w3.org/2001/XMLSchema" xmlns:xs="http://www.w3.org/2001/XMLSchema" xmlns:p="http://schemas.microsoft.com/office/2006/metadata/properties" xmlns:ns2="29f257e8-729a-414a-a0fb-bc150ad772fb" xmlns:ns3="acaa7730-6365-49c2-ad55-697c0b846f28" targetNamespace="http://schemas.microsoft.com/office/2006/metadata/properties" ma:root="true" ma:fieldsID="08323858a4492cd6d079975fdf93448a" ns2:_="" ns3:_="">
    <xsd:import namespace="29f257e8-729a-414a-a0fb-bc150ad772fb"/>
    <xsd:import namespace="acaa7730-6365-49c2-ad55-697c0b846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257e8-729a-414a-a0fb-bc150ad77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7c67ef-84af-47a4-8409-0c3776a5c5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a7730-6365-49c2-ad55-697c0b846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7373a0-0704-49bb-9d20-25cc4339fb7e}" ma:internalName="TaxCatchAll" ma:showField="CatchAllData" ma:web="acaa7730-6365-49c2-ad55-697c0b846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ED0A-1181-424E-B977-077488C0FF2E}">
  <ds:schemaRefs>
    <ds:schemaRef ds:uri="http://schemas.microsoft.com/office/2006/metadata/properties"/>
    <ds:schemaRef ds:uri="http://schemas.microsoft.com/office/infopath/2007/PartnerControls"/>
    <ds:schemaRef ds:uri="acaa7730-6365-49c2-ad55-697c0b846f28"/>
    <ds:schemaRef ds:uri="29f257e8-729a-414a-a0fb-bc150ad772fb"/>
  </ds:schemaRefs>
</ds:datastoreItem>
</file>

<file path=customXml/itemProps2.xml><?xml version="1.0" encoding="utf-8"?>
<ds:datastoreItem xmlns:ds="http://schemas.openxmlformats.org/officeDocument/2006/customXml" ds:itemID="{A0296C50-FA73-4597-9453-B8E037849680}">
  <ds:schemaRefs>
    <ds:schemaRef ds:uri="http://schemas.microsoft.com/sharepoint/v3/contenttype/forms"/>
  </ds:schemaRefs>
</ds:datastoreItem>
</file>

<file path=customXml/itemProps3.xml><?xml version="1.0" encoding="utf-8"?>
<ds:datastoreItem xmlns:ds="http://schemas.openxmlformats.org/officeDocument/2006/customXml" ds:itemID="{E9B3CA6D-F50B-4691-80C7-BE5B41EE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257e8-729a-414a-a0fb-bc150ad772fb"/>
    <ds:schemaRef ds:uri="acaa7730-6365-49c2-ad55-697c0b84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800AB-6D5F-4681-93D9-99FC6307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Oliver</dc:creator>
  <cp:keywords/>
  <dc:description/>
  <cp:lastModifiedBy>Chris Petrulis</cp:lastModifiedBy>
  <cp:revision>15</cp:revision>
  <cp:lastPrinted>2025-12-10T16:20:00Z</cp:lastPrinted>
  <dcterms:created xsi:type="dcterms:W3CDTF">2025-12-16T14:36:00Z</dcterms:created>
  <dcterms:modified xsi:type="dcterms:W3CDTF">2025-12-16T18:27:00Z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0x0101007BE6A4CAB84F934EA1AFEB0E2A10C98B</vt:lpwstr>
  </property>
  <property fmtid="{D5CDD505-2E9C-101B-9397-08002B2CF9AE}" pid="3" name="Order">
    <vt:r8>3339000</vt:r8>
  </property>
  <property fmtid="{D5CDD505-2E9C-101B-9397-08002B2CF9AE}" pid="4" name="MediaServiceImageTags">
    <vt:lpwstr/>
  </property>
</Properties>
</file>